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D-2752/2013 vom 30. September 2013</w:t>
      </w:r>
    </w:p>
    <w:p>
      <w:r>
        <w:t>Bundesverwaltungsgericht, 2013-09-30, FR</w:t>
      </w:r>
    </w:p>
    <w:p>
      <w:r>
        <w:rPr>
          <w:b/>
        </w:rPr>
        <w:t xml:space="preserve">Quelle: </w:t>
      </w:r>
      <w:r>
        <w:t>https://mcp.opencaselaw.ch/entscheid/bvger_D-2752_2013</w:t>
      </w:r>
    </w:p>
    <w:p>
      <w:r>
        <w:t>FR: TAF D-2752/2013 du 30 septembre 2013</w:t>
      </w:r>
    </w:p>
    <w:p>
      <w:r>
        <w:t>IT: TAF D-2752/2013 del 30 settembre 2013</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LAsi,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 elles n'entrent pas dans le champ d'exclusion de l'art. 32 LTAF. Le Tribunal est donc compétent pour connaître de la présente cause ; il statue définitivement, en l'absence d'une demande d'extradition déposée par l'Etat dont le recourant cherche à se protéger (cf. art. 83 let. d ch. 1 de la loi sur le Tribunal fédéral du 17 juin 2005, LTF, RS 173.10), exception non réalisée en l'espèce.</w:t>
      </w:r>
    </w:p>
    <w:p>
      <w:r>
        <w:rPr>
          <w:b/>
        </w:rPr>
        <w:t>E. 1.2</w:t>
      </w:r>
    </w:p>
    <w:p>
      <w:r>
        <w:t>Les recourants ont qualité pour recourir (art. 48 al. 1 PA). Présenté dans la forme (art. 52 al. 1 PA) et le délai (art. 108 al. 2 LAsi) prescrits par la loi, le recours est recevable.</w:t>
      </w:r>
    </w:p>
    <w:p>
      <w:r>
        <w:rPr>
          <w:b/>
        </w:rPr>
        <w:t>E. 1.3</w:t>
      </w:r>
    </w:p>
    <w:p>
      <w:r>
        <w:t>Cela étant, la conclusion tendant à la restitution de l'effet suspensif est irrecevable, le recours ayant, de part la loi, effet suspensif et l'ODM ne l'ayant pas retiré dans la décision contestée (art. 55 al. 1 PA applicable par renvoi des art. 105 LAsi et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A._______ a fait valoir que lui et son épouse avaient été agressés à réitérées reprises par des tiers, après qu'il eut opposé un refus à un homme qui lui aurait réclamé de l'argent en échange de sa protection. Il a également précisé que tant lui que sa femme n'avaient pas obtenu la protection de la police, malgré les nombreuses plaintes déposées. Dans la décision attaquée, l'ODM a tout d'abord estimé que le récit de l'intéressé n'était pas vraisemblable pour ce qui a trait notamment à la chronologie des interventions de ses agresseurs au domicile familial ainsi qu'aux objets dérobés à cette occasion. Cet office a également retenu que les propos de A._______ portant sur le dénommé I._______ et le déroulement de certains faits différaient de ceux tenus par son épouse, sans pour autant que l'intéressé ait été en mesure de les expliquer. De surcroît, l'office fédéral a nié la pertinence des motifs d'asile allégués, estimant que, même en admettant la vraisemblance des préjudices invoqués, la Serbie était en mesure de lui assurer une protection adéquate. A l'appui de son recours, A._______ a maintenu l'intégralité des motifs d'asile allégués devant l'autorité intimée. Il a tout d'abord fait valoir son incompréhension face à la position de l'ODM qui considérait la Serbie comme un pays sûr, alors même que les Roms y étaient toujours notoirement discriminés. Il a également rappelé que lui et son épouse n'avaient jamais pu obtenir de la police une protection adéquate, aucune suite n'ayant été donnée aux plaintes que tous deux avaient déposées. En outre, il a qualifié de mineures les contradictions relevées par l'autorité de première instance.</w:t>
      </w:r>
    </w:p>
    <w:p>
      <w:r>
        <w:rPr>
          <w:b/>
        </w:rPr>
        <w:t>E. 4.1</w:t>
      </w:r>
    </w:p>
    <w:p>
      <w:r>
        <w:t>En l'espèce, c'est à juste titre que l'ODM a retenu que les allégations du recourant relatives aux persécutions passées dont il aurait fait l'objet n'étaient pas crédibles. En effet, son récit y relatif est très inconstant et manque de détails significatifs d'une expérience réellement vécue, de même qu'il diverge, sur plusieurs points essentiels, de celui avancé par son épouse. A titre d'exemple, l'intéressé a tenu des propos très flous, voire lacunaires, lorsqu'il a été invité à s'exprimer sur la personne qui l'aurait racketté et à décrire le déroulement de sa première agression (cf. audition p. 4 questions 20 ss). Il n'a pas non plus été à même d'indiquer à quelle date précise il était parti en Allemagne exercer son activité lucrative de (...), ni d'ailleurs la durée exacte de son séjour dans ce pays (cf. audition p. 7 question 61). Pour le reste, il est renvoyé aux considérants pertinents de la décision de l'ODM (cf. consid. I/1 p. 3 de la décision attaquée), le recourant n'ayant apporté aucune explication tangible susceptible de les remettre en cause. En particulier, et contrairement à ce qu'il affirme dans son recours, les multiples invraisemblances relevées par l'autorité intimée ne sauraient manifestement pas être qualifiées de mineures. Partant, A._______ n'est pas parvenu à rendre vraisemblable, au sens de l'art. 7 LAsi, avoir été exposé à des préjudices déterminants en Serbie pour l'un des motifs prévus à l'art. 3 LAsi.</w:t>
      </w:r>
    </w:p>
    <w:p>
      <w:r>
        <w:rPr>
          <w:b/>
        </w:rPr>
        <w:t>E. 4.2</w:t>
      </w:r>
    </w:p>
    <w:p>
      <w:r>
        <w:t>L'intéressé a également fait valoir une crainte d'être exposé, ainsi que ses enfants, à de sérieux préjudices en cas de retour en Serbie, en raison de leur appartenance ethnique. A ce propos, le Tribunal relève que l'appartenance à la minorité ethnique rom ne permet pas, à elle seule, d'admettre une crainte fondée de futures persécutions telle que définie à l'art. 3 LAsi. En effet, si, en Serbie, les Roms sont certes victimes de brimades ou d'autres tracasseries de la part de tiers ou d'autorités locales, ils ne sont pas pour autant l'objet d'actes systématiques d'une violence telle qu'ils seraient propres à constituer de sérieux préjudices au sens défini à l'art. 3 LAsi (cf. notamment dans ce sens arrêt du Tribunal administratif fédéral E 434/2010 du 30 juin 2010). En outre, et d'une manière générale, il y a également lieu d'admettre la volonté et la capacité des autorités serbes de poursuivre les auteurs d'actes pénalement répréhensibles commis notamment contre des membres de minorités ethniques. Celles-ci sont donc, en principe, capables de leur offrir une protection appropriée pour empêcher la perpétration d'actes illicites, et cela indépendamment de l'appartenance ethnique des auteurs ou des victimes de tels actes. Cela étant, tant la volonté que la capacité de l'Etat serbe de garantir la sécurité à tous ses habitants, y compris à ceux issus d'ethnies minoritaires, doivent d'autant plus être admises que la Serbie a été désignée par le Conseil fédéral comme Etat exempt de persécutions, au sens de l'art. 6a al. 2 let. a LAsi, avec effet au 1er avril 2009. C'est donc à tort que le recourant critique sur ce point l'argument retenu par l'ODM. Au vu de ce qui précède, les recourants ne sont pas fondés à faire valoir une crainte de futures persécutions en raison de leur appartenance ethnique.</w:t>
      </w:r>
    </w:p>
    <w:p>
      <w:r>
        <w:rPr>
          <w:b/>
        </w:rPr>
        <w:t>E. 4.3</w:t>
      </w:r>
    </w:p>
    <w:p>
      <w:r>
        <w:t>Quant aux extraits du rapport de l'ECRI du 31 mai 2012 et au document non daté "publié en Allemagne" (cf. consid. D ci dessus), ils ne sauraient se révéler pertinents, dans la mesure où ils sont de portée générale et ne concernent dès lors pas les recourants personnellement.</w:t>
      </w:r>
    </w:p>
    <w:p>
      <w:r>
        <w:rPr>
          <w:b/>
        </w:rPr>
        <w:t>E. 5</w:t>
      </w:r>
    </w:p>
    <w:p>
      <w:r>
        <w:t>Au vu de ce qui précède,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en règle générale être prononcée. Celle-ci est réglée par l'art. 84 de la loi fédérale du 16 décembre 2005 sur les étrangers (LEtr, RS 142.20).</w:t>
      </w:r>
    </w:p>
    <w:p>
      <w:r>
        <w:rPr>
          <w:b/>
        </w:rPr>
        <w:t>E. 8.1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8.4</w:t>
      </w:r>
    </w:p>
    <w:p>
      <w:r>
        <w:t>En l'occurrence, les recourants n'ont pas, pour les motifs déjà exposés dans les considérants ci-avant, démontré à satisfaction qu'il existait pour eux un véritable risque concret et sérieux d'être victimes de tortures ou de traitements inhumains ou dégradants en cas de retour en Serbie.</w:t>
      </w:r>
    </w:p>
    <w:p>
      <w:r>
        <w:rPr>
          <w:b/>
        </w:rPr>
        <w:t>E. 8.5</w:t>
      </w:r>
    </w:p>
    <w:p>
      <w:r>
        <w:t>Dès lors, l'exécution du renvoi des recourants sous forme de refoulement ne transgresse aucun engagement de la Suisse relevant du droit international, de sorte qu'elle s'avère licite (art. 44 al. 2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11.1, ATAF 2007/10 consid. 5.1 et réf. cit.).</w:t>
      </w:r>
    </w:p>
    <w:p>
      <w:r>
        <w:rPr>
          <w:b/>
        </w:rPr>
        <w:t>E. 9.2</w:t>
      </w:r>
    </w:p>
    <w:p>
      <w:r>
        <w:t>En l'occurrence, la Serbie ne connaît pas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D'ailleurs, comme relevé ci avant, le Conseil fédéral a désigné ce pays comme Etat exempt de persécutions depuis le 1er avril 2009.</w:t>
      </w:r>
    </w:p>
    <w:p>
      <w:r>
        <w:rPr>
          <w:b/>
        </w:rPr>
        <w:t>E. 9.3</w:t>
      </w:r>
    </w:p>
    <w:p>
      <w:r>
        <w:t>En outre, il ne ressort pas non plus du dossier que les recourants pourraient être mis concrètement en danger pour des motifs qui leur seraient propres. A._______ est dans la pleine force de l'âge, a suivi huit ans d'école et exerçait la profession de (...) en Serbie, ce qui lui permettait - selon ses propres dires - de bien vivre (cf. aud. CEP p. 4), et donc de subvenir à ses besoins ainsi qu'à ceux de sa famille. En outre, il a également suivi une formation de (...) durant son séjour en Suisse, qu'il pourra mettre à profit à son retour en Serbie. Les intéressés disposent aussi d'une maison dans leur village d'origine ainsi que d'un large réseau familial - et professionnel s'agissant de A._______ - sur place et n'ont pas allégué, ni a fortiori établi, qu'ils souffraient de problèmes de santé particuliers pour lesquels ils ne pourraient être soignés en Serbie et qui seraient susceptibles de rendre leur renvoi inexigible. Quant à leur bonne intégration en Suisse, attestée par toute une série de lettres produites à l'appui du complément du recours daté du 16 mai 2013 (cf. consid. E ci-dessus), elle n'est manifestement pas déterminante dans l'appréciation de l'exigibilité de l'exécution de leur renvoi. Cela dit, la famille A._______ est en Suisse depuis à peine plus d'un an et demi et reste donc largement rattachée à son pays d'origine, de sorte qu'un retour en Serbie ne constituerait à l'évidence pas un déracinement complet. Les nombreuses lettres de soutien de personnes de l'entourage de la famille A._______ et celles des enseignants et camarades de classe des enfants B._______, C._______ et D.________ sont donc sans pertinence. Il convient encore d'examiner la situation des trois enfants mineurs B._______, C._______ et D._______. En effet, lors de la pondération des aspects humanitaires avec l'intérêt public qui leur est opposé, il convient également de tenir compte du principe consacré à l'art. 3 de la convention du 20 novembre 1989 relative aux droits de l'enfant (CDE; RS 0.107), selon lequel l'intérêt supérieur de l'enfant doit être une considération primordiale (cf. ATAF 2010/45 consid. 8.3 et jurisp. cit.). En l'espèce, les trois enfants B._______, C._______, D._______, âgés de (...), (...) et (...) ans, sont arrivés en Suisse - comme déjà souligné au paragraphe précédent il n'y a qu'un an et demi. S'ils ont certes vécu quelque temps en Suède avec leurs parents, ils ont néanmoins passé la majeure partie de leur enfance au Kosovo et n'ont pas encore eu le temps de développer de liens spécialement étroits avec la Suisse. Aussi, le facteur lié à la déstabilisation d'enfants jeunes, en raison du changement de pays, n'est pas pertinent, en l'absence d'un déracinement d'avec leur pays d'origine au sens que donne à cette expression la jurisprudence (cf. ATAF 2009/51 consid. 5.6, ATAF 2009/28 consid. 9.3.2 et réf. cit.). Il appartiendra également à l'ODM de coordonner le départ de A._______ et de ses enfants avec celui de leur épouse, respectivement mère (celle-ci faisant l'objet d'un arrêt du Tribunal du même jour confirmant son renvoi de Suisse ainsi que l'exécution de cette mesure), afin qu'ensemble ils puissent affronter les difficultés liées à leur réinstallation dans un pays qu'ils ont quitté, faut-il le rappeler, il y a un an et demi seulement et où ils possèdent une maison.</w:t>
      </w:r>
    </w:p>
    <w:p>
      <w:r>
        <w:rPr>
          <w:b/>
        </w:rPr>
        <w:t>E. 9.4</w:t>
      </w:r>
    </w:p>
    <w:p>
      <w:r>
        <w:t>Pour ces motifs, l'exécution du renvoi doit être considérée comme raisonnablement exigible, au sens de l'art. 83 al. 4 LEtr.</w:t>
      </w:r>
    </w:p>
    <w:p>
      <w:r>
        <w:rPr>
          <w:b/>
        </w:rPr>
        <w:t>E. 10</w:t>
      </w:r>
    </w:p>
    <w:p>
      <w:r>
        <w:t>Enfin, les recourants étant chacun en possession d'un passeport valable, l'exécution du renvoi ne se heurte donc pas à des obstacles insurmontables d'ordre technique et s'avère également possible (cf. ATAF 2008/34 consid. 12 p. 513-515).</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