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D-2747/2022 vom 15. Juni 2022</w:t>
      </w:r>
    </w:p>
    <w:p>
      <w:r>
        <w:t>Bundesverwaltungsgericht, 2022-06-15, DE</w:t>
      </w:r>
    </w:p>
    <w:p>
      <w:r>
        <w:rPr>
          <w:b/>
        </w:rPr>
        <w:t xml:space="preserve">Quelle: </w:t>
      </w:r>
      <w:r>
        <w:t>https://mcp.opencaselaw.ch/entscheid/bvger_D-2747_2022_d20220615</w:t>
      </w:r>
    </w:p>
    <w:p>
      <w:r>
        <w:t>FR: TAF D-2747/2022 du 15 juin 2022</w:t>
      </w:r>
    </w:p>
    <w:p>
      <w:r>
        <w:t>IT: TAF D-2747/2022 del 15 giugno 2022</w:t>
      </w:r>
    </w:p>
    <w:p>
      <w:pPr>
        <w:pStyle w:val="Heading2"/>
      </w:pPr>
      <w:r>
        <w:t>Regeste</w:t>
      </w:r>
    </w:p>
    <w:p>
      <w:r>
        <w:t>Vollzug der Wegweisung (Art. 40 i.V.m. Art. 6a Abs. 2 AsylG) | Vollzug der Wegweisung (verkürzte Beschwerdefrist); Verfügung des SEM vom 15. Juni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ist einzutreten (Art. 108 Abs. 3 AsylG und Art. 52 Abs. 1 VwVG).</w:t>
      </w:r>
    </w:p>
    <w:p>
      <w:r>
        <w:rPr>
          <w:b/>
        </w:rPr>
        <w:t>E. 2</w:t>
      </w:r>
    </w:p>
    <w:p>
      <w:r>
        <w:t>Die Beschwerde richtet sich aufgrund der Rechtsbegehren und Beschwer- debegründung ausschliesslich gegen den angeordneten Wegweisungs- vollzug (mangels eines entsprechenden Begehrens sowie zugehöriger Be- gründung insbesondere nicht gegen die Wegweisung an sich). Gegen- stand des vorliegenden Beschwerdeverfahrens bildet demnach die Frage, ob das SEM den Wegweisungsvollzug zu Recht angeordnet hat. Im Übri- gen ist die angefochtene Verfügung mangels Anfechtung mit Ablauf der Rechtsmittelfrist in Rechtskraft erwachsen.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einen Schriftenwechsel verzichtet.</w:t>
      </w:r>
    </w:p>
    <w:p>
      <w:r>
        <w:rPr>
          <w:b/>
        </w:rPr>
        <w:t>E. 5</w:t>
      </w:r>
    </w:p>
    <w:p>
      <w:r>
        <w:t>Soweit die Beschwerdeführenden eine unrichtige beziehungsweise unvoll- ständige Sachverhaltsabklärung rügen, da die Vorinstanz es unterlassen habe, ihre sozioökonomische Lebenssituation in Nordmazedonien sowie ihren Gesundheitszustand rechtsgenüglich abzuklären, ist vorab festzu-</w:t>
      </w:r>
    </w:p>
    <w:p>
      <w:r>
        <w:t>D-2747/2022 Seite 5 stellen, dass diese Rüge unbegründet ist. Die Vorinstanz würdigte im an- gefochtenen Entscheid die im Rahmen des Asylverfahrens gemachten Vor- bringen. Es ist nicht ersichtlich – und wird auf Beschwerdeebene auch nicht näher ausgeführt − inwiefern die finanziellen Möglichkeiten der Beschwer- deführenden im Heimatstaat weiterer Abklärungen bedurft hätten. Gleiches gilt für ihre gesundheitliche Situation. So gab die volljährige Beschwerde- führerin denn an, abgesehen von Bluthochdruck, Augen- und Kopfschmer- zen gesund zu sein (vgl. A26/12 F11 und A34/12 F6). Hinweise auf die in der Beschwerdeschrift geltend gemachte Traumatisierung finden sich in den Akten jedoch nicht. Gleiches gilt für die (angebliche) Traumatisierung des Kindes B._______. Zwar äusserte die Kindsmutter während der Anhö- rung diesbezüglich Bedenken (vgl. A34/12 F19), es wurden aber auf Be- schwerdeebene keine Belege für ein allfälliges psychisches Leiden des äl- teren Kindes eingereicht. Bezüglich des Kindes C._______ liegt ein ärztli- cher Bericht der Neuropädiatrie des Kantonsspitals F._______ vor, gemäss welchem keine Grunderkrankungen bestehen. Das von der Kindsmutter als aggressiv beschriebene Verhalten gehe über ein normales Mass an Är- ger nicht hinaus (vgl. A52/3 S. 2). Die in der Beschwerdeschrift geltend ge- machte – jedoch nicht weiter belegte – Verdachtsdiagnose Autismus bei C._______ erweist sich somit als reine Mutmassung. Vor diesem Hintergrund musste sich die Vorinstanz nicht veranlasst sehen, weitere Abklärungen vorzunehmen und es besteht keine Veranlassung, die angefochtene Verfügung aus formellen Gründen aufzuheben. Das Eventu- albegehren auf Rückweisung der Sache an die Vorinstanz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D-2747/2022 Seite 6</w:t>
      </w:r>
    </w:p>
    <w:p>
      <w:r>
        <w:rPr>
          <w:b/>
        </w:rPr>
        <w:t>E. 6.2.1</w:t>
      </w:r>
    </w:p>
    <w:p>
      <w:r>
        <w:t>Der Vollzug ist nicht zulässig, wenn völkerrechtliche Verpflichtungen der Schweiz (insbesondere Art. 5 Abs. 1 AsylG, Art. 33 Abs. 1 des Abkom- mens über die Rechtsstellung der Flüchtlinge [FK, SR 0.142.30], Art. 25 Abs.3 BV, Art. 3 des Übereinkommens vom 10. Dezember 1984 gegen Fol- ter und andere grausame, unmenschliche oder erniedrigende Behandlung oder Strafe [FoK, SR 0.105] und Art. 3 EMRK) einer Weiterreise der Aus- länderin oder des Ausländers in den Heimat-, Herkunfts- oder einen Dritt- staat entgegenstehen (Art. 83 Abs. 3 AIG).</w:t>
      </w:r>
    </w:p>
    <w:p>
      <w:r>
        <w:rPr>
          <w:b/>
        </w:rPr>
        <w:t>E. 6.2.2</w:t>
      </w:r>
    </w:p>
    <w:p>
      <w:r>
        <w:t>Nachdem das SEM die Flüchtlingseigenschaft der Beschwerdefüh- renden verneinte und dies unangefochten geblieben ist (vgl. E. 2 hiervor), kann der in Art. 5 AsylG verankerte Grundsatz der Nichtrückschiebung im vorliegenden Verfahren keine Anwendung finden. Eine Rückkehr der Be- schwerdeführenden in den Heimatstaat ist demnach unter dem Aspekt von Art. 5 AsylG rechtmässig. Sodann ergeben sich aus den Akten auch keine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indes nicht gelungen, zumal die von den Beschwerdeführenden geltend gemachte Ge- fährdung durch den Ehemann und Kindsvater sich nicht auf Nordmazedo- nien bezieht. Ferner lässt auch die allgemeine Menschenrechtssituation im Heimatstaat den Wegweisungsvollzug nicht als unzulässig erscheinen.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Sind Kinder von einem allfälligen Wegweisungsvollzug betroffen, so bildet das Kindeswohl im Rahmen der Zumutbarkeitsprüfung einen Gesichts- punkt von gewichtiger Bedeutung.</w:t>
      </w:r>
    </w:p>
    <w:p>
      <w:r>
        <w:t>D-2747/2022 Seite 7</w:t>
      </w:r>
    </w:p>
    <w:p>
      <w:r>
        <w:rPr>
          <w:b/>
        </w:rPr>
        <w:t>E. 6.3.2</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der Verordnung vom 11. August 1999 über den Vollzug der Weg- und Ausweisung sowie der Landesverweisung von ausländischen Personen [VVWAL, SR 142.281] sowie deren Anhang 2). Diese Regelvermutung kann durch konkrete und substantiierte gegenteilige Hinweise widerlegt werden, sofern ernsthafte Anhaltspunkte dafür dargetan werden, dass die beschwerdefüh- rende Person aufgrund von individuellen Umständen sozialer, wirtschaftli- cher oder gesundheitlicher Art in eine existenzielle Notlage geraten würde (vgl. Urteil des BVGer D-51/2022 vom 8. März 2022 E. 6.3.2).</w:t>
      </w:r>
    </w:p>
    <w:p>
      <w:r>
        <w:rPr>
          <w:b/>
        </w:rPr>
        <w:t>E. 6.3.3</w:t>
      </w:r>
    </w:p>
    <w:p>
      <w:r>
        <w:t>Die vorgenannte Regelvermutung vermögen die Beschwerdeführen- den auch durch ihre Ausführungen auf Beschwerdeebene nicht umzustos- sen. Zwar verfügt die volljährige Beschwerdeführerin weder über eine Be- rufsausbildung noch über Berufserfahrung (vgl. A26/12 F45), die gesunde und junge Frau weist aber eine solide Schulbildung vor (vgl. A34/12 F38), weshalb durchaus anzunehmen ist, dass sie – nach einiger Zeit der Rein- tegration – im Heimatstaat eine Anstellung zu finden vermag. Bis dahin ist davon auszugehen, dass sie und ihre Kinder – wie bereits vor der Ausreise – auf die Unterstützung von Freunden und Verwandten zurückgreifen und in deren Haushalt unterkommen können (vgl. A26/12 F30, F33, F62 und A34/12 F17, F43, F65). So sei es denn in ihrer Kultur üblich, «dass man Verwandte [und] Bekannte in Notfällen unterstützt» (vgl. A26/12 F36). Der angebliche Kontaktabbruch und die angeblich vergeblichen Versuche der Kontaktaufnahme mit den Angehörigen im Heimatstaat erscheinen ange- sichts der überwiegend widersprüchlichen und ausweichenden Aussagen der volljährigen Beschwerdeführerin nicht glaubhaft (vgl. beispielsweise A26/12 F39 f., F42 und A34/12 F26 ff., F29). Selbst bei Wahrunterstellung ist aufgrund der Aktenlage nicht davon auszugehen, die Beschwerdefüh- renden könnten sich nach ihrer Rückkehr in den Heimatstaat nicht an ihre Verwandten wenden, zumal der Grund der behaupteten Kontaktverweige- rung mit der Trennung der Eheleute weggefallen ist (vgl. A34/12 F37) und auf Beschwerdeebene eingestanden wird, der Kontakt zur Verwandtschaft sei lediglich eingeschlafen (vgl. Beschwerde S. 7, Ziff. 15). Sollten die Be- schwerdeführenden wider Erwarten nicht in der Lage sein, sich aus eigener Kraft respektive mit Unterstützung ihres Umfelds in Nordmazedonien finan- ziell zu integrieren, ist es ihnen zuzumuten, sich an die entsprechenden staatlichen Stellen respektive privaten Organisationen – auf welche die an- gefochtene Verfügung zu Recht hinweist – zu wenden und Sozialhilfe zu</w:t>
      </w:r>
    </w:p>
    <w:p>
      <w:r>
        <w:t>D-2747/2022 Seite 8 beziehen. Da sie sich bislang offensichtlich nicht um staatliche Unterstüt- zung bemühten (vgl. A34/12 F46), handelt es sich bei der Behauptung in der Beschwerdeschrift, ebensolche würde ihnen verweigert, lediglich um eine Mutmassung. An dieser Einschätzung vermag auch der auf Be- schwerdeebene eingereichte Bericht der Schweizerischen Flüchtlingshilfe nichts zu ändern, zumal dieser keinen Bezug zu den Beschwerdeführen- den aufweist.</w:t>
      </w:r>
    </w:p>
    <w:p>
      <w:r>
        <w:rPr>
          <w:b/>
        </w:rPr>
        <w:t>E. 6.3.4</w:t>
      </w:r>
    </w:p>
    <w:p>
      <w:r>
        <w:t>Schliesslich spricht auch aus medizinischer Sicht nichts gegen eine Rückkehr der Beschwerdeführenden, ergibt sich doch aus den Akten we- der eine Diagnose noch ein akuter Behandlungsbedarf (vgl. auch E. 5 hier- vor), weshalb davon auszugehen ist, dass die Beschwerdeführenden grundsätzlich gesund sind. Eine notwendige medizinische Versorgung (auch psychischer Erkrankungen) ist in Nordmazedonien im Bedarfsfall oh- nehin gesichert (vgl. Urteile des BVGer E-2518/2020 vom 30. April 2021 E. 6.2.4.3 f. und E-7115/2018 vom 29. Juli 2020 E. 8.4.2.2).</w:t>
      </w:r>
    </w:p>
    <w:p>
      <w:r>
        <w:rPr>
          <w:b/>
        </w:rPr>
        <w:t>E. 6.3.5</w:t>
      </w:r>
    </w:p>
    <w:p>
      <w:r>
        <w:t>Vorliegend steht auch das Kindeswohl dem Vollzug der Wegweisung der Beschwerdeführenden nicht entgegen. Zwar ist nicht auszuschliessen, dass eine Rückkehr der Beschwerdeführenden nach Nordmazedonien nach jahrelanger Landesabwesenheit eine gewisse Belastung darstellt, es ist aber nach einem knapp elfmonatigen Aufenthalt in der Schweiz (seit Asylgesuch) noch nicht von einer fortgeschrittenen Verwurzelung auszu- gehen. Die (noch) wichtigste Bezugsperson der (…)- und (…)jährigen Kin- der ist denn auch die Kindsmutter. Zudem befinden sich die Kinder in einem Alter, in dem sie eine fremde Sprache vergleichsweise leicht erlernen und sich damit problemlos die in ihrer Heimatregion gesprochene Sprache – sollte sich diese von Albanisch unterscheiden – aneignen können und ihnen die Eingliederung in das heimatliche Schulsystem gelingen dürfte. Der Wegweisungsvollzug nach Nordmazedonien hätte damit keine derar- tige Entwurzelung der Kinder zur Folge, dass eine Rückkehr dorthin mit dem Kindeswohl nicht vereinbar wäre.</w:t>
      </w:r>
    </w:p>
    <w:p>
      <w:r>
        <w:rPr>
          <w:b/>
        </w:rPr>
        <w:t>E. 6.3.6</w:t>
      </w:r>
    </w:p>
    <w:p>
      <w:r>
        <w:t>Der Vollzug der Wegweisung erweist sich somit auch als zumutbar.</w:t>
      </w:r>
    </w:p>
    <w:p>
      <w:r>
        <w:rPr>
          <w:b/>
        </w:rPr>
        <w:t>E. 6.4</w:t>
      </w:r>
    </w:p>
    <w:p>
      <w:r>
        <w:t>Schliesslich ist der Vollzug der Wegweisung auch möglich (Art. 83 Abs. 2 AIG), da die Beschwerdeführenden über gültige Reisepässe verfügen (vgl. BM 001 – 003).</w:t>
      </w:r>
    </w:p>
    <w:p>
      <w:r>
        <w:t>D-2747/2022 Seite 9</w:t>
      </w:r>
    </w:p>
    <w:p>
      <w:r>
        <w:rPr>
          <w:b/>
        </w:rPr>
        <w:t>E. 7</w:t>
      </w:r>
    </w:p>
    <w:p>
      <w:r>
        <w:t>Zusammenfassend ist festzustellen, dass die Vorinstanz den Wegwei- sungsvollzug nach Nordmazedonien zu Recht als zulässig, zumutbar und möglich bezeichnet hat. Eine Anordnung der vorläufigen Aufnahme fällt da- mit ausser Betracht (Art. 83 Abs. 1 – 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Das Gesuch um Gewährung der unentgeltlichen Rechtspflege ist un- geachtet der behaupteten Mittellosigkeit abzuweisen, da die Begehren – wie sich aus den vorstehenden Erwägungen ergibt – als aussichtslos zu bezeichnen sind (Art. 65 Abs. 1 VwVG). Dementsprechend ist auch das Gesuch um Beiordnung eines amtlichen Rechtsbeistands abzuweisen. Das Gesuch um Verzicht auf die Erhebung eines Kostenvorschusses wird mit dem vorliegenden Entscheid gegenstandslos.</w:t>
      </w:r>
    </w:p>
    <w:p>
      <w:r>
        <w:rPr>
          <w:b/>
        </w:rPr>
        <w:t>E. 9.2</w:t>
      </w:r>
    </w:p>
    <w:p>
      <w:r>
        <w:t>Bei diesem Ausgang des Verfahrens sind die Verfahrenskosten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D-2747/2022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