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D-2747/2011 vom 24. Januar 2013</w:t>
      </w:r>
    </w:p>
    <w:p>
      <w:r>
        <w:t>Bundesverwaltungsgericht, 2013-01-24, DE</w:t>
      </w:r>
    </w:p>
    <w:p>
      <w:r>
        <w:rPr>
          <w:b/>
        </w:rPr>
        <w:t xml:space="preserve">Quelle: </w:t>
      </w:r>
      <w:r>
        <w:t>https://mcp.opencaselaw.ch/entscheid/bvger_D-2747_2011</w:t>
      </w:r>
    </w:p>
    <w:p>
      <w:r>
        <w:t>FR: TAF D-2747/2011 du 24 janvier 2013</w:t>
      </w:r>
    </w:p>
    <w:p>
      <w:r>
        <w:t>IT: TAF D-2747/2011 del 24 gennaio 2013</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Beschwerdeeingabe vom 13. Mai 2011 richtet sich ausschliesslich gegen den Vollzug der von der Vorinstanz verfügten Wegweisung. Somit ist die Verfügung des BFM vom 12. April 2011, soweit sie die Frage der Flüchtlingseigenschaft und der Asylgewährung betrifft (Ziffer 1 und 2 des Dispositivs der vorinstanzlichen Verfügung), in Rechtskraft erwachsen, und auch die Anordnung der Wegweisung (Ziffer 3 des Dispositivs) ist nicht mehr zu überprüfen (vgl. Entscheidungen und Mitteilungen der Schweizerischen Asylrekurskommission [EMARK] 2001 Nr. 21). Gegen­stand des vorliegenden Verfahrens bildet somit lediglich die Frage, ob das Bundesamt den Vollzug der Wegweisung zu Recht als zulässig, zumutbar und möglich erachtet hat oder ob an seiner Stelle die vorläufige Aufnahme anzuordnen ist (Art. 44 Abs. 2 AsylG i.V.m. Art. 83 des Bundesgesetzes vom 16. Dezember 2005 über die Ausländerinnen und Ausländer [AuG, SR 142.20]).</w:t>
      </w:r>
    </w:p>
    <w:p>
      <w:r>
        <w:rPr>
          <w:b/>
        </w:rPr>
        <w:t>E. 4</w:t>
      </w:r>
    </w:p>
    <w:p>
      <w:r>
        <w:t>Hinsichtlich der verfahrensrechtlichen Rügen des Beschwerdeführers ist Folgendes festzustellen:</w:t>
      </w:r>
    </w:p>
    <w:p>
      <w:r>
        <w:rPr>
          <w:b/>
        </w:rPr>
        <w:t>E. 4.1</w:t>
      </w:r>
    </w:p>
    <w:p>
      <w:r>
        <w:t>Die verfügende Behörde hat die Überlegungen zu nennen, von denen sie sich leiten liess und auf die sich ihr Entscheid stützt. Die Begründungspflicht ist ein Element rationaler und transparenter Entscheidfindung und dient nicht zuletzt auch der Selbstkontrolle der Behörden. Entsprechend bildet eine hinreichende Begründung die Grundlage für eine sachgerechte Anfechtung der Verfügung durch die Betroffenen und stellt gleichzeitig eine unabdingbare Voraussetzung für die Beurteilung ihrer Rechtmässigkeit durch die Beschwerdeinstanz dar (vgl. BVGE 2008/47 E. 3.2 S. 674 f., BVGE 2007/30 E. 5.6 S. 366 f.; Lorenz Kneubühler in: Kommentar zum VwVG, Auer/Müller/Schindler [Hrsg.], Zürich 2008, N. 6 ff. zu Art. 35; Alfred Kölz/Isabelle Häner, Verwaltungsverfahren und Verwaltungsrechtspflege des Bundes, 2. Aufl., Zürich 1998, S. 119, Rz. 325 und S. 128, Rz. 354 f.).</w:t>
      </w:r>
    </w:p>
    <w:p>
      <w:r>
        <w:rPr>
          <w:b/>
        </w:rPr>
        <w:t>E. 4.2</w:t>
      </w:r>
    </w:p>
    <w:p>
      <w:r>
        <w:t>Das Bundesamt stützte sich in seiner Verfügung hinsichtlich der Frage der Zumutbarkeit des Wegweisungsvollzugs ausdrücklich auf eine im Herbst 2010 durchgeführte Dienstreise nach Sri Lanka sowie die UNHCR-Richtlinien vom 5. Juli 2010. Es werden keine anderweitigen Quellen genannt. Somit ist davon auszugehen, dass die Lageeinschätzung des Bundesamts, aufgrund welcher dieses eine Praxisänderung in Bezug auf die Beurteilung der Durchführbarkeit des Wegweisungsvollzugs nach Sri Lanka vornahm, unter anderem auf Erkenntnissen aus der Dienstreise vom September 2010 basiert. Da dieser demnach ein entscheidwesentlicher Charakter zukommt, wäre das BFM unter dem Gesichtspunkt der Begründungspflicht gehalten gewesen, dem Beschwerdeführer die Erkenntnisse der Dienstreise mit angemessener Transparenz offenzulegen. Indem dies unterlassen wurde, ist das aus dem verfassungsmässigen Anspruch auf rechtliches Gehör resultierende Recht des Beschwerdeführers auf Information über die wesentlichen Entscheidgrundlagen im vorliegenden Fall nicht ausreichend gewahrt und damit die Begründungspflicht verletzt worden.</w:t>
      </w:r>
    </w:p>
    <w:p>
      <w:r>
        <w:rPr>
          <w:b/>
        </w:rPr>
        <w:t>E. 4.3</w:t>
      </w:r>
    </w:p>
    <w:p>
      <w:r>
        <w:t>Indessen wurde dem Beschwerdeführer im Rahmen des Beschwerdeverfahrens Gelegenheit zur Stellungnahme zur bereits bekannten und zugestellten Zusammenfassung der Ergebnisse der Dienstreise eingeräumt. Da die festgestellte Verletzung des rechtlichen Gehörs nicht schwerwiegender Natur ist und dem Bundesverwaltungsgericht bezüglich des Vollzugs der Wegweisung volle Kognition zukommt, kann der gerügte Verfahrensmangel damit als geheilt erachtet werden.</w:t>
      </w:r>
    </w:p>
    <w:p>
      <w:r>
        <w:rPr>
          <w:b/>
        </w:rPr>
        <w:t>E. 4.4</w:t>
      </w:r>
    </w:p>
    <w:p>
      <w:r>
        <w:t>Bezüglich des Antrags des Beschwerdeführers, es seien ihm - über die Ergebnisse der erwähnten Dienstreise hinaus - auch die anderen relevanten Herkunftsländerinformationen, auf welche die Vorinstanz ihren Entscheid stütze, offenzulegen, ist festzuhalten, dass sich nach Sinn und Zweck des verfassungsmässigen Gehörsanspruchs die entsprechenden Informationsrechte auf jene Erkenntnisquellen der entscheidenden Behörde richten, die tatsächlich argumentativ herbeigezogen werden beziehungsweise als Grundlage für den Entscheid genannt werden. Unter Berufung auf das Akteneinsichtsrecht kann es somit nicht darum gehen, Zugang zu irgendwelchen nicht konkret benannten Dokumenten zu erlangen.</w:t>
      </w:r>
    </w:p>
    <w:p>
      <w:r>
        <w:rPr>
          <w:b/>
        </w:rPr>
        <w:t>E. 4.5</w:t>
      </w:r>
    </w:p>
    <w:p>
      <w:r>
        <w:t>In Bezug auf die UNHCR-Richtlinien vom 5. Juli 2010 ist im Übrigen festzustellen, dass diese öffentlich zugänglich sind - so auch im Internet -, weshalb diesbezüglich keine Verletzung des Akteneinsichtsrechts beziehungsweise der Begründungspflicht vorliegt. Daran ändert auch der Umstand nichts, dass in der angefochtenen Verfügung darauf verzichtet wurde, bezüglich dieses Dokumentes die relevanten Passagen anzugeben.</w:t>
      </w:r>
    </w:p>
    <w:p>
      <w:r>
        <w:rPr>
          <w:b/>
        </w:rPr>
        <w:t>E. 4.6</w:t>
      </w:r>
    </w:p>
    <w:p>
      <w:r>
        <w:t>Bezüglich der Rüge in der Rechtmittelschrift, wonach eine Verletzung der Begründungspflicht und des Anspruchs des Beschwerdeführers auf rechtliches Gehör vorliege, da das BFM in der angefochtenen Verfügung ohne Begründung von der langjährigen Praxis des Bundesverwaltungsgerichts abgewichen sei, ist Folgendes festzuhalten: Das BFM zeigte in der angefochtenen Verfügung nachvollziehbar und im Einzelnen hinreichend differenziert auf, weshalb es zum Schluss gelangte, dass sich die allgemeine Sicherheitslage in Sri Lanka nach Ende des bewaffneten Konflikts zwischen der sri-lankischen Regierung und den LTTE im Mai 2009 deutlich entspannt habe und sich die Lebensbedingungen insoweit verbessert hätten, dass eine Rückkehr auch in den Norden und Osten Sri Lankas grundsätzlich wieder zumutbar sei, während im ehemals von den LTTE kontrollierten Vanni-Gebiet die Lebensbedingungen nach wie vor als sehr schwierig einzustufen seien. Das BFM muss sich als Vorinstanz zwar auch hinsichtlich der Frage der generellen Zumutbarkeit des Vollzugs der Wegweisung in Herkunftsländer abgewiesener Asylsuchender an die Praxis des Bundesverwaltungsgerichts halten, es ist aber sehr wohl befugt, mit einlässlicher Begründung von einer bestehenden Praxis abzuweichen, wenn es diese als anpassungsbedürftig erachtet (vgl. BVGE 2012/54 E. 9.2.1 S. 801 f.). Dass das BFM den Vollzug der Wegweisung in die Nord- und Ostprovinz Sri Lankas aufgrund der jüngsten Entwicklungen in Sri Lanka aus den in der Verfügung dargelegten Gründen als zumutbar einschätzt, ist daher nicht zu beanstanden. Das Bundesverwaltungsgericht äusserte sich im Übrigen in seinem Urteil BVGE 2011/24 zur aktuellen Situation in Sri Lanka und nahm eine Anpassung seiner in BVGE 2008/2 publizierten Praxis vor. Die im neuen Grundsatzurteil publizierte Praxis des Bundesverwaltungsgerichts entspricht weitgehend der vorliegend beanstandeten Praxis des BFM. Inwiefern das BFM mit seinem Vorgehen die Begründungspflicht verletzt haben soll, ist in Anbetracht der insgesamt ausgewogenen und differenzierten Erwägungen in der angefochtenen Verfügung ohnehin nicht ersichtlich.</w:t>
      </w:r>
    </w:p>
    <w:p>
      <w:r>
        <w:rPr>
          <w:b/>
        </w:rPr>
        <w:t>E. 4.7</w:t>
      </w:r>
    </w:p>
    <w:p>
      <w:r>
        <w:t>Zusammenfassend gelangt das Gericht zum Schluss, dass, insoweit die Vorinstanz den Anspruch des Beschwerdeführers auf rechtliches Gehör verletzte, diese Gehörsverletzung im Beschwerdeverfahren geheilt wurde. Bei dieser Sachlage besteht somit keine Veranlassung, die angefochtene Verfügung aus formellen Gründen aufzuheben, weshalb das Begehren des Beschwerdeführers, der Entscheid vom 12. April 2011 sei in den Dispositivziffern 4 und 5 aufzuheben und zur Neubeurteilung der Sache an das BFM zurückzuweisen, abzuweisen ist. Der festgestellte Verfahrensmangel wird indessen im Kosten- und Entschädigungspunkt zu berücksichtigen sein (vgl. nachfolgend E. 7 und 8).</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 Walter Stöckli, Asyl, in: Uebersax/Rudin/Hugi Yar/Geiser [Hrsg.], Ausländerrecht, 2. Aufl., Basel 2009, Rz. 11.148).</w:t>
      </w:r>
    </w:p>
    <w:p>
      <w:r>
        <w:rPr>
          <w:b/>
        </w:rPr>
        <w:t>E. 5.2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5.3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Beschwerdeführer gehört keiner in Bezug auf die Flüchtlingseigenschaft relevanten Risikogruppe an (vgl. BVGE 2011/24 E. 8), zumal er eigenen Angaben zufolge weder mit den LTTE kollaborierte noch sonst wie politisch aktiv war, weshalb nicht davon auszugehen ist, ihm drohe im Rahmen der routinemässigen Überprüfung bei der Rückkehr diesbezüglich eine unmenschliche Behandlung. Zudem vermag die von ihm geltend gemachte Furcht vor einer Inhaftierung und Tötung durch die sri-lankische Regierung lediglich aufgrund seiner dunklen Hautfarbe nicht zu überzeugen. Eine konkret drohende Gefahr für den Beschwerdeführer bei einer Rückkehr nach Sri Lanka ist demnach nicht ersichtlich. Daran vermögen auch die neu eingereichten Beweismittel nichts zu ändern, zumal nicht feststeht, in welchem Zusammenhang die Brandstiftung mit den Vorbringen des Beschwerdeführers steht. Es kann offen bleiben, ob der Feueranschlag konkret ihm beziehungsweise seiner Familie galt oder ob das Haus des Beschwerdeführers zufälligerweise getroffen wurde, zumal der Vorfall der Polizei zur Anzeige gebracht, ein Polizeirapport aufgenommen und Untersuchungen eingeleitet wurden. Dadurch manifestiert der sri-lankische Staat, dass er fähig und gewillt ist, begangene Strafhandlungen zu untersuchen und zu ahnden, weshalb von einem hinreichenden Schutz durch den Heimatstaat des Beschwerdeführers ausgegangen werden kann.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5.4.1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5.4.2</w:t>
      </w:r>
    </w:p>
    <w:p>
      <w:r>
        <w:t>Im erwähnten Urteil BVGE 24/2011 nahm das Bundesverwaltungsgericht angesichts der veränderten Lage nach dem Ende des sri-lankischen Bürgerkriegs im Mai 2009 eine erneute Beurteilung der Lage in Sri Lanka vor, unter Berücksichtigung zahlreicher Berichte von in- und ausländischen Regierungs- und Nichtregierungsorganisationen. In Bezug auf die Frage der Zumutbarkeit des Wegweisungsvollzugs gelangte es dabei zur Einschätzung, dass dieser in das gesamte Gebiet der Ostprovinz aufgrund der Stabilisierung und Normalisierung der Situation grundsätzlich zumutbar sei (a.a.O. E. 13.1). In der Nordprovinz (Distrikt Jaffna und die südlichen Teile der Distrikte Vavuniya und Mannar) - mit Ausnahme des Vanni-Gebiets - sei der Alltag weitestgehend eingekehrt. Es herrsche keine Situation allgemeiner Gewalt und die dortige politische Lage sei nicht dermassen angespannt, dass eine Rückkehr dorthin als generell unzumutbar eingestuft werden müsste. Allerdings dränge sich beim Wegweisungsvollzug in dieses Gebiet eine zurückhaltende Beurteilung der individuellen Zumutbarkeitskriterien ebenso auf wie eine Berücksichtigung des zeitlichen Elements. Für Personen, die aus der Nordprovinz stammten und dieses Gebiet erst nach Beendigung des Bürgerkrieges im Mai 2009 verlassen hätten, sei der Wegweisungsvollzug zurück in dieses Gebiet grundsätzlich zumutbar. Für Personen, die aus der Nordprovinz stammten und deren letzter Aufenthalt dort längere Zeit zurückliege, seien die aktuellen Lebens- und Wohnverhältnisse sorgfältig abzuklären und das Vorhandensein begünstigender Faktoren (Existenz eines tragfähigen Beziehungsnetzes, Sicherung des Existenzminimums und der Wohnsituation) zu prüfen (vgl. zum Ganzen: a.a.O. E. 13.2). Die aktuelle Situation in Sri Lanka rechtfertigt es auch unter Berücksichtigung der vom Beschwerdeführer zitierten Berichte und Stellungnahmen verschiedener Organisationen nicht, von der neuen Praxis des Bundesverwaltungsgerichts abzuweichen. Der junge und gemäss Aktenlage gesunde Beschwerdeführer stammt aus dem in der I._______, ausserhalb des Vanni-Gebiets, gelegenen Ort D._______ (E._______), wo er bis kurz vor seiner Ausreise lebte. Demnach verbrachte er die meiste Zeit seines Lebens im E._______, wo ein Grossteil seiner Angehörigen noch immer wohnt. Es kann daher von einem tragfähigen sozialen und familiären Beziehungsnetz ausgegangen werden. Der Beschwerdeführer verfügt über eine abgeschlossene Schulbildung (O-Level) und besuchte zuletzt den A-Level. Seine Familie sei im Besitz eines grossen Gemüsegartens, weshalb es ihr finanziell gut gehe (act. A12/11 S. 3 F15). Zudem kann davon ausgegangen werden, dass er auch auf die Unterstützung seines in der Schweiz lebenden Bruders, zu welchem er Kontakt pflege (act. A12/11 S. 2 F7), zählen kann. Aus den Akten ergeben sich ferner keine konkreten Anhaltspunkte, aufgrund derer allenfalls geschlossen werden könnte, der Beschwerdeführer geriete im Falle der Rückkehr in seinen Heimatstaat aus individuellen Gründen wirtschaftlicher, sozialer oder gesundheitlicher Natur in eine existenzbedrohende Situation, selbst unter Berücksichtigung des Umstandes, dass er vor dem Ende des Bürgerkrieges ausreiste. Unter diesen Umständen liegen im Falle des Beschwerdeführers hinreichend günstige Faktoren im Sinne der zitierten Rechtsprechung vor, weshalb von einer sozialen und wirtschaftlichen Wiedereingliederung ausgegangen werden darf.</w:t>
      </w:r>
    </w:p>
    <w:p>
      <w:r>
        <w:rPr>
          <w:b/>
        </w:rPr>
        <w:t>E. 5.4.3</w:t>
      </w:r>
    </w:p>
    <w:p>
      <w:r>
        <w:t>Nach dem Gesagten lassen - entgegen der in der Rechtsmitteleingabe vertretenen Auffassung - weder die allgemeine Lage vor Ort noch individuelle Gründe auf eine konkrete Gefährdung im Falle einer Rückkehr schliessen, weshalb der Vollzug der Wegweisung vorliegend insgesamt als zumutbar zu erachten ist.</w:t>
      </w:r>
    </w:p>
    <w:p>
      <w:r>
        <w:rPr>
          <w:b/>
        </w:rPr>
        <w:t>E. 5.5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5.6</w:t>
      </w:r>
    </w:p>
    <w:p>
      <w:r>
        <w:t>Zusammenfassend hat die Vorinstanz den Wegweisungsvollzug zu Recht als zulässig, zumutbar und möglich erachtet. Nach dem Gesagten fällt eine Anordnung der vorläufigen Aufnahme ausser Betracht (Art. 83 Abs. 1 - 4 AuG).</w:t>
      </w:r>
    </w:p>
    <w:p>
      <w:r>
        <w:rPr>
          <w:b/>
        </w:rPr>
        <w:t>E. 6</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7</w:t>
      </w:r>
    </w:p>
    <w:p>
      <w:r>
        <w:t>Die Kosten des Verfahrens sind grundsätzlich dem unterliegenden Beschwerdeführer aufzuerlegen (Art. 63 Abs. 1 und 5 VwVG). Indessen wurde dem Beschwerdeführer erst im Rahmen des Beschwerdeverfahrens mit Instruktionsverfügung vom 1. Oktober 2012 Gelegenheit zur Stellungnahme zu den Ergebnissen der Dienstreise des BFM nach Sri Lanka vom September 2010 eingeräumt. Insofern wurde in der Beschwerde zu Recht ein Verfahrensmangel gerügt, dieser jedoch durch die Rechtsmittelinstanz geheilt (vgl. E. 4.3 vorstehend). Es erscheint daher gerechtfertigt, die Verfahrenskosten in Anwendung von Art. 6 Bst. b des Reglements vom 21. Februar 2008 über die Kosten und Entschädigungen vor dem Bundesverwaltungsgericht (VGKE, SR 173.320.2) zu ermässigen (vgl. dazu André Moser/Michael Beusch/Lorenz Kneubühler, Prozessieren vor dem Bundesverwaltungsgericht, Basel 2008, S. 212, Rz. 4.60). Eine Reduktion der Verfahrenskosten auf Fr. 400.- erscheint angemessen.</w:t>
      </w:r>
    </w:p>
    <w:p>
      <w:r>
        <w:rPr>
          <w:b/>
        </w:rPr>
        <w:t>E. 8</w:t>
      </w:r>
    </w:p>
    <w:p>
      <w:r>
        <w:t>Angesichts des soeben Gesagten ist dem Beschwerdeführer schliesslich trotz des Umstandes, dass er im vorliegenden Beschwerdeverfahren letztlich mit seinen Rechtsbegehren nicht durchgedrungen ist, eine angemessene (reduzierte) Parteientschädigung für die ihm aus der Beschwerdeführung im Rahmen des festgestellten Verfahrensmangels erwachsenen notwendigen Kosten zuzusprechen. Der Beschwerdeführer hat keine Kostennote einreichen lassen. Die Parteientschädigung ist jedoch aufgrund des zuverlässig abschätzbaren Zeitaufwandes seines Rechtsvertreters und der praxisgemässen Bemessungsfaktoren (Art. 16 Abs. 1 Bst. a VGG i.V.m. Art. 8, Art. 10 Abs. 2 und Art. 14 Abs. 2 VGKE) auf insgesamt Fr. 400.- (inklusive Auslagen und allfällige Mehrwertsteuer) festzusetzen. Dieser Betrag ist dem Beschwerdeführer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