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D-2747/2007 vom 27. Mai 2010</w:t>
      </w:r>
    </w:p>
    <w:p>
      <w:r>
        <w:t>Bundesverwaltungsgericht, 2010-05-27, DE</w:t>
      </w:r>
    </w:p>
    <w:p>
      <w:r>
        <w:rPr>
          <w:b/>
        </w:rPr>
        <w:t xml:space="preserve">Quelle: </w:t>
      </w:r>
      <w:r>
        <w:t>https://mcp.opencaselaw.ch/entscheid/bvger_D-2747_2007</w:t>
      </w:r>
    </w:p>
    <w:p>
      <w:r>
        <w:t>FR: TAF D-2747/2007 du 27 mai 2010</w:t>
      </w:r>
    </w:p>
    <w:p>
      <w:r>
        <w:t>IT: TAF D-2747/2007 del 27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Kinder der Beschwerdeführerin (vgl. Bst. J und K) sind in das vorliegende Verfahren miteinzubeziehen.</w:t>
      </w:r>
    </w:p>
    <w:p>
      <w:r>
        <w:rPr>
          <w:b/>
        </w:rPr>
        <w:t>E. 1.4</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der Beschwerdeführerin mit der Begründung ab, ihre Vorbringen genügten den Anforderungen an die Glaubhaftigkeit gemäss Art. 7 AsylG nicht. Diese Feststellung hält einer Überprüfung durch das Bundesverwaltungsgericht stand. Um Wiederholungen zu vermeiden, kann zum einen auf die unter Angabe der jeweiligen Fundstellen in den Protokollen gemachten Erwägungen in der angefochtenen Verfügung verwiesen werden. Zum andern ist auf die ebenfalls nicht zu beanstandenden Ausführungen in der Vernehmlassung des BFM vom 12. November 2007 hinzuweisen. Der Umstand, dass die Beschwerdeführerin das ihr in diesem Zusammenhang eingeräumte Replikrecht nicht wahrnahm, ist zudem als Eingeständnis einer konstruierten Geschichte zu werten. Die aus dieser Unterlassung resultierenden nachteiligen Konsequenzen hat denn auch sie selbst zu tragen. Angesichts dieser eindeutigen Sachlage braucht auf weitere Unstimmigkeiten und Ungereimtheiten in den Aussagen der Beschwerdeführerin nicht eingegangen zu werden.</w:t>
      </w:r>
    </w:p>
    <w:p>
      <w:r>
        <w:rPr>
          <w:b/>
        </w:rPr>
        <w:t>E. 4.2</w:t>
      </w:r>
    </w:p>
    <w:p>
      <w:r>
        <w:t>Der Vollständigkeit halber ist hinsichtlich der allgemeinen Situation in Togo festzuhalten, dass sich diese seit der Ausreise der Beschwerdeführerin im Jahre 2006 deutlich verbessert hat. Ohne im Einzelnen auf die diesbezügliche Lageentwicklung näher einzugehen, kann auf diverse in diesem Zusammenhang ergangene Urteile des Bundesverwaltungsgerichts verwiesen werden (vgl. Urteile D-5579/2006 vom 1. April 2010 E. 5.2, D-5616/2006 vom 16. März 2009 E. 5.2, E-531/2007 vom 20. November 2008 E. 3.3, E-6721/2006 vom 26. Juni 2008 E. 3.2 sowie D-7595/2006 vom 17. Dezember 2007 E. 4.3.2).</w:t>
      </w:r>
    </w:p>
    <w:p>
      <w:r>
        <w:rPr>
          <w:b/>
        </w:rPr>
        <w:t>E. 4.3</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das Asylgesuch der Beschwerdeführerin demnach zu Recht abgelehnt. Auf die übrigen Vorbringen in der Beschwerde ist nicht einzugehen.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Gemäss Rechtsprechung und Lehre entscheidet die zuständige Behörde über die Erteilung und Verweigerung von Anwesenheitsbewilligungen nach freiem Ermessen (vgl. Peter UEBERSAX, Einreise und Anwesenheit, in: Uebersax/Rudin/Hugi/Yar/Geiser [Hrsg.], Ausländerrecht, 2. Aufl., Basel 2009, Rz. 7.99 ff.). Es besteht daher kein Anspruch auf eine solche, es sei denn, die ausländische Person oder ihre in der Schweiz lebenden Angehörigen könnten sich hierfür auf eine Sondernorm des Bundesrechts oder eines Staatsvertrages berufen (vgl. BGE 128 II 145 E. 1.1.1 S. 148 mit Hinweisen sowie Entscheidungen und Mitteilungen der Schweizerischen Asylrekurskommission [EMARK] 2001 Nr. 21 S. 168 ff.). Die Beschwerdeführenden können sich auf keine Norm des Landesrechts berufen, welche ihnen einen Anspruch auf Erteilung einer Aufenthaltsbewilligung einräumen würde, da der Lebenspartner der Beschwerdeführerin respektive der Vater derer Kinder (vgl. Bst. L) bloss eine Aufenthaltsbewilligung und somit kein gefestigtes Anwesenheitsrecht hat. Eine Berufung auf Art. 8 der Konvention vom 4. November 1950 zum Schutze der Menschenrechte und Grundfreiheiten (EMRK, SR 0.101), soweit dieser das Recht auf Achtung des Familienlebens schützt, ist somit ausgeschlossen (vgl. BGE 130 II 281 E. 3.1 S. 285 mit Hinweisen). Ein gefestigtes Anwesenheitsrecht - des Vaters der beiden Kinder der Beschwerdeführerin - kann sich sodann aus dem Schutz des Privatlebens, d.h. wiederum aus Art. 8 EMRK ergeben. Nach der Rechtsprechung bedarf es hierfür indessen besonders intensiver, über eine normale Integration hinausgehender privater Bindungen gesellschaftlicher oder beruflicher Natur respektive entsprechend vertiefter sozialer Beziehungen zum ausserfamiliären beziehungsweise ausserhäuslichen Bereich (vgl. BGE 130 II 281 E. 3.2.1 S. 286). Das Vorliegen solcher besonders intensiver Bindungen wird im vorliegenden Fall weder geltend gemacht noch ergeben sich aus den Akten Hinweise darauf. Zusammenfassend ist festzuhalten, dass die Beschwerdeführenden keinen Anspruch auf Erteilung einer Aufenthaltsbewilligung haben. Die Anordnung der Wegweisung (Art. 44 Abs. 1 AsylG) hat demnach auch heute zu Recht bestand (vgl. EMARK 2001 Nr. 21 a.a.O. E. 11.a S. 177).</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Vorliegend ist der Vollzug als zumutbar zu erachten, weil keine Hinweise dafür bestehen, dass die Beschwerdeführenden bei einer Rückkehr nach Togo einer konkreten Gefährdung ausgesetzt wären. Das Bundesverwaltungsgericht erachtet den Wegweisungsvollzug nach Togo gestützt auf die allgemeine Lage als generell zumutbar (vgl. Urteile D-5579/2006 vom 1. April 2010 E. 5.2, D-5616/2006 vom 16. März 2009 E. 7.5, E-531/2007 vom 20. November 2008 E. 7.2 sowie E-6721/2006 vom 26. Juni 2008 E. 6.3.1). Aus den Akten ergeben sich sodann keine Anhaltspunkte, die darauf schliessen liessen, die Beschwerdeführenden würden im Falle der Rückkehr nach Togo aus individuellen Gründen wirtschaftlicher, sozialer oder gesundheitlicher Natur in eine existenzbedrohende Situation geraten. Eigenen Angaben zufolge verfügt die irgendwelche Schwierigkeiten mit den heimatlichen Behörden, Organisationen oder Personen verneinende Beschwerdeführerin über Grundschulbildung und verdiente ihren Lebensunterhalt seit dem Jahre 2003 bis zur Ausreise als Hausmädchen bei Henry Olympio (vgl. A1/10 S. 5 und 6), einem landesbekannten Oppositionellen, zu dessen Verwandtschaft unter anderem der im Jahre 2007 aus dem Exil zurückgekehrte UFC-Präsident, Gilchrist Olympio (Cousin) und der 1963 gestürzte erste Präsident Togos, Sylvanus Olympio (Onkel) zu zählen sind. Sodann lebt eine ihrer Schwestern mit den zwei Kindern der Beschwerdeführerin in Togoville und zahlreiche andere Geschwister in benachbarten Ländern oder in jenem Land, wo sie sich von Geburt bis ins Jahr 2003 aufgehalten hat (vgl. A1/10 S. 1 und 3). Die Beschwerdeführerin verfügt somit, insbesondere aufgrund ihrer Anstellung als Hausmädchen bei Henry Olympio, über ein Beziehungsnetz, welches ihr bei der Reintegration helfen kann. Auch ist davon auszugehen, dass im Falle von Anfangsschwierigkeiten die zahlreich im Ausland lebenden Geschwister ihr unterstützend zur Seite stehen können. Soweit den Akten zu entnehmen ist, sind die Beschwerdeführenden gesund und das Alter ihrer beiden Kinder stellt kein Wegweisungshindernis dar. In Berücksichtigung sämtlicher für das vorliegende Verfahren relevanter Aspekte ist der Vollzug der Wegweisung der Beschwerdeführerin und ihrer Kinder nicht unzumutbar im Sinne von Art. 83 Abs. 4 AuG.</w:t>
      </w:r>
    </w:p>
    <w:p>
      <w:r>
        <w:rPr>
          <w:b/>
        </w:rPr>
        <w:t>E. 6.6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14. Juni 2006 wurde das Gesuch um Gewährung der unentgeltlichen Rechtspflege im Sinne von Art. 65 Abs. 1 VwVG gutgeheissen. Die Beschwerdeführerin ist gemäss den vorliegenden Akten aktuell nicht erwerbstätig, weshalb davon ausgegangen werden kann, dass sie prozessual bedürftig ist. Mithin sind die Voraussetzungen der Gewährung der unentgeltlichen Rechtspflege der nämlichen gesetzlichen Bestimmungen nach wie vor gegeben. Trotz Unterliegens der Beschwerdeführenden werden demzufolge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