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D-2741/2012 vom 18. Juni 2012</w:t>
      </w:r>
    </w:p>
    <w:p>
      <w:r>
        <w:t>Bundesverwaltungsgericht, 2012-06-18, DE</w:t>
      </w:r>
    </w:p>
    <w:p>
      <w:r>
        <w:rPr>
          <w:b/>
        </w:rPr>
        <w:t xml:space="preserve">Quelle: </w:t>
      </w:r>
      <w:r>
        <w:t>https://mcp.opencaselaw.ch/entscheid/bvger_D-2741_2012</w:t>
      </w:r>
    </w:p>
    <w:p>
      <w:r>
        <w:t>FR: TAF D-2741/2012 du 18 juin 2012</w:t>
      </w:r>
    </w:p>
    <w:p>
      <w:r>
        <w:t>IT: TAF D-2741/2012 del 18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Aufgrund des persönlichen und sachlichen Zusammenhangs sowie aus prozessökonomischen Gründen sind die Beschwerdeverfahren bezüglich des Beschwerdeführenden 1 (Ehemann/Vater) und der Beschwerdeführenden 2 bis 5 (Ehefrau/Kinder) zu vereinigen, weshalb im vorliegenden Urteil über beide Beschwerdeverfahren befunden wird.</w:t>
      </w:r>
    </w:p>
    <w:p>
      <w:r>
        <w:rPr>
          <w:b/>
        </w:rPr>
        <w:t>E. 1.4</w:t>
      </w:r>
    </w:p>
    <w:p>
      <w:r>
        <w:t>Die Beschwerden sind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weshalb sie zur Einreichung der Beschwerden legitimiert sind (Art. 105 AsylG i.V.m. Art. 37 VGG und Art. 48 Abs. 1 VwVG). Auf die Beschwerden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(Art. 7 AsylG).</w:t>
      </w:r>
    </w:p>
    <w:p>
      <w:r>
        <w:rPr>
          <w:b/>
        </w:rPr>
        <w:t>E. 5.1</w:t>
      </w:r>
    </w:p>
    <w:p>
      <w:r>
        <w:t>Nach Prüfung der Akten durch das Gericht ist - in Übereinstimmung mit der Vorinstanz - festzustellen, dass die Asylvorbringen der Beschwer­deführenden den Anforderungen an die Glaubhaftigkeit gemäss Art. 7 AsylG nicht standzuhalten vermögen beziehungsweise nicht asylrelevant sind, weshalb diesbezüglich vorab auf die ausführlichen und zutreffenden vorinstanzlichen Erwägungen zu verweisen ist (vgl. die Ziffern I, Bst. B.b und B.c vorstehend). Die Vorbringen in der Rechtsmittelschrift sind nicht geeignet, eine Änderung der vorinstanzlichen Verfügung zu bewirken, zumal diesen keine stichhaltigen Entgegnungen zu entnehmen sind. Die nunmehr geltend gemachte Behauptung, wonach der Kreditgeber den Beschwerdeführenden 1 bei der Polizei angezeigt habe, woraufhin ein Gerichtsverfahren gegen ihn (Beschwerdeführenden 1) eröffnet worden sei, welches er unterdessen verloren habe, ist als unglaubhaft zu erachten, da der Beschwerdeführende 1 anlässlich der Befragungen Derartiges mit keinem Wort erwähnte, sondern vielmehr geltend machte, er habe bei der Polizei Anzeige gegen den Kreditgeber erstattet, weshalb gegen diesen ein Verfahren eröffnet worden sei (BFM-Akten A 14/10 S. 5 ff.). Soweit die Beschwerdeführenden in der Rechtsmittelschrift vorbringen, sie fürchteten sich bei einer Rückkehr nach Serbien vor der Belgrader Mafia, ist festzuhalten, dass dieses Vorbringen als nachgeschoben und daher unglaubhaft zu beurteilen ist, zumal sie solches anlässlich der Befragungen mit keinem Wort erwähnten. Abgesehen davon wäre es ihnen bei einer Bedrohung durch die Mafia möglich, bei den serbischen Behörden um Schutz zu ersuchen.</w:t>
      </w:r>
    </w:p>
    <w:p>
      <w:r>
        <w:rPr>
          <w:b/>
        </w:rPr>
        <w:t>E. 5.2</w:t>
      </w:r>
    </w:p>
    <w:p>
      <w:r>
        <w:t>Zusammenfassend ist festzustellen, dass es den Beschwerdeführenden nicht gelungen ist nachzuweisen oder zumindest glaubhaft zu machen, dass sie in der Heimat ernsthafte Nachteile gemäss Art. 3 AsylG erlitten haben oder solche bei der Ausreise zu befürchten hatten oder im Falle einer Rückkehr nach Serbien befürchten müssten. Die Beschwerdeführenden vermögen mit ihren Beschwerdevorbringen und den eingereichten Beweismitteln zu keiner anderen Betrachtungsweise zu führen, weshalb es sich erübrigt, weiter darauf einzugehen. Das BFM hat demnach zu Recht die Flüchtlingseigenschaft der Beschwerdeführenden verneint und deren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Aufgrund der Akten sowie der vorstehenden Erwägungen im Asylpunkt ist indessen nicht davon auszugehen, dass den Beschwerdeführenden im Falle einer Rückschiebung in ihr Heimatland eine derartige Gefahr droht.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Angesichts der heutigen Lage in Serbien ist gemäss konstanter Praxis nicht von einer Situation allgemeiner Gewalt oder kriegerischen respektive bürgerkriegsähnlichen Verhältnissen zu sprechen. Zur Lage der Roma in Serbien hat sich das Bundesverwaltungsgericht in einem publizierten Urteil vom 18. September 2009 ausführlich geäussert (vgl. BVGE 2009/51). Es stellte unter anderem fest, aufgrund ihrer ethnischen Zugehörigkeit seien Roma generell unterschiedlichen Schikanen und Diskriminierungen ausgesetzt und ihre Lage in wirtschaftlicher und sozialer Sicht sei allgemein schwierig. Auch wenn Übergriffe von Privatpersonen auf Angehörige der Roma und teilweise behördliche Schikanen sowie Diskriminierungen nicht völlig ausgeschlossen werden können, erreichen diese jedoch im Allgemeinen nicht ein Ausmass, welches einen Wegweisungsvollzug als unzumutbar erscheinen lässt (vgl. statt vieler Urteil des Bundesverwaltungsgerichts D-5714/2009 vom 13. November 2009).</w:t>
      </w:r>
    </w:p>
    <w:p>
      <w:r>
        <w:rPr>
          <w:b/>
        </w:rPr>
        <w:t>E. 7.3.3</w:t>
      </w:r>
    </w:p>
    <w:p>
      <w:r>
        <w:t>Aus den Akten ergibt sich, dass viele nahe Verwandte (Eltern, Geschwister, Onkel, Tanten) der Beschwerdeführenden 1 und 2 in Serbien leben (A 5/14 S. 5, A 6/14 S. 5), so dass die Beschwerdeführenden über ein familiäres Beziehungsnetz in diesem Land verfügen. Zudem besitzt der Beschwerdeführende 1 in H._______ ein grosses Haus (A 14/10 S. 2), das die Beschwerdeführenden vor ihrer Ausreise aus Serbien bewohnt haben und in das sie zurückkehren können. Überdies verfügt der Beschwerdeführende 1 über Berufserfahrung als (...) und als (...), weshalb anzunehmen ist, er könne sich in seiner Heimat wieder wirtschaftlich integrieren und für sich und seine Familie sorgen. Bei der Integration werden die Beschwerdeführenden im Bedarfsfall auf die (finanzielle) Unterstützung ihrer zahlreichen nahen Verwandten zählen können, die in Serbien leben. Die Rückkehrhilfe der Schweiz wird ihnen den Wiedereinstieg in Serbien ebenfalls erleichtern (vgl. Art. 62 ff. der Asylverordnung 2 über Finanzierungsfragen vom 11. August 1999 [AsylV 2, SR 142.312]). Es ist darauf hinzuweisen, dass blosse soziale und wirtschaftliche Schwierigkeiten, von denen die ansässige Bevölkerung im Allgemeinen betroffen ist, nicht genügen, um eine Gefährdung im Sinne von Art. 83 Abs. 4 AuG darzustellen (vgl. BVGE 2008/34 E. 11.2.2). Gemäss den Akten ist davon auszugehen, dass die Beschwerdeführenden, insbesondere die Beschwerdeführende 2 (vgl. A 15/13 S. 11), unter keinen gravierenden gesundheitlichen Problemen leiden, weshalb einer Rückkehr nach Serbien auch keine medizinischen Gründe entgegenstehen. Die Beschwerdeführende 2 kann ihre allenfalls immer noch vorhandenen psychischen Probleme - falls nötig - in ihrer Heimat weiterbehandeln lassen, zumal die medizinische Grundversorgung in Serbien gewährleistet ist. Sollten gravierende Eheprobleme auftreten, ist es ihr überdies zumutbar, sich für Unterstützung an die entsprechenden staatlichen Stellen oder an die vorhandenen privaten Organisationen zu wenden. Der Vollzug der Wegweisung nach Serbien ist daher insgesamt als zumutbar zu bezeichnen.</w:t>
      </w:r>
    </w:p>
    <w:p>
      <w:r>
        <w:rPr>
          <w:b/>
        </w:rPr>
        <w:t>E. 7.4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Beschwerden sind nach dem Gesagten abzuweisen.</w:t>
      </w:r>
    </w:p>
    <w:p>
      <w:r>
        <w:rPr>
          <w:b/>
        </w:rPr>
        <w:t>E. 10</w:t>
      </w:r>
    </w:p>
    <w:p>
      <w:r>
        <w:t>Bei diesem Ausgang des Verfahrens sind die Kosten den Beschwerdeführenden aufzuerlegen (Art. 63 Abs. 1 und 5 VwVG), auf insgesamt Fr. 1'200.- festzusetzen (Art. 1-3 des Reglements vom 21. Februar 2008 über die Kosten und Entschädigungen vor dem Bundesverwaltungsgericht [VGKE, SR 173.320.2]) und mit den am 7. Juni 2012 in derselben Höhe geleisteten Kostenvorschüssen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