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D-2735/2012 vom 9. Juli 2012</w:t>
      </w:r>
    </w:p>
    <w:p>
      <w:r>
        <w:t>Bundesverwaltungsgericht, 2012-07-09, DE</w:t>
      </w:r>
    </w:p>
    <w:p>
      <w:r>
        <w:rPr>
          <w:b/>
        </w:rPr>
        <w:t xml:space="preserve">Quelle: </w:t>
      </w:r>
      <w:r>
        <w:t>https://mcp.opencaselaw.ch/entscheid/bvger_D-2735_2012</w:t>
      </w:r>
    </w:p>
    <w:p>
      <w:r>
        <w:t>FR: TAF D-2735/2012 du 9 juillet 2012</w:t>
      </w:r>
    </w:p>
    <w:p>
      <w:r>
        <w:t>IT: TAF D-2735/2012 del 9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ist in der angefochtenen Verfügung zum Schluss gelangt, die Ausführungen des Beschwerdeführers zu seiner Flucht aus der Haft im (Datum) seien widersprüchlich ausgefallen. So habe er in der Erstbefragung (Befragung zur Person [BzP]) an zwei Stellen ausgeführt, dass er von zu Hause ins Camp von X._______ gebracht worden sei. Zwei bis drei Wochen später sei er dann in ein Camp in W._______ verlegt worden. In der zweiten Anhörung sei demgegenüber vorgebracht worden, dass er von Beginn an ins Camp in W._______ gebracht worden sei. Die genauen Umstände der Flucht seien in der BzP dahingehend beschrieben worden, dass er an diesem Tag unter einem Baum verhört wor­den sei. Ein muslimischer Soldat, der ihn bewacht habe, habe ihm dann gesagt, dass er fliehen solle, da am Vortag an derselben Stelle ein junger Mann getötet worden sei. In der zweiten Anhörung sei dann jedoch angegeben worden, dass eine muslimische Person in höherer Position ihn im Camp immer wieder befragt habe und ihm dann eines Tages gesagt habe, er (der Beschwerdeführer) solle fliehen, weil man ihn sonst wie seinen Freund B._______, der ihn (den Beschwerdeführer) verraten habe, erschiessen würde. Auch der Verhaftungsgrund sei unterschiedlich angegeben worden. In der BzP habe der Beschwerdeführer erklärt, man habe ihm eine Unterstützung der LTTE vorgeworfen, indem er für sie Fotos gemacht und an Protestkundgebungen gegen die Armee teilgenommen habe. In der zweiten Anhörung habe er dann ausgeführt, dass die Aktivitäten in der Studenten­vereinigung den wichtigsten Grund für die Verhaftung geliefert hätten. Da er B._______ Unterschlupf gewährt habe, sei die Armee davon ausgegangen, dass er die LTTE unterstütze. In der BzP sei B._______ jedoch mit keinem Wort erwähnt worden. Schliesslich sei auch die vorgebrachte Verhaftung durch Anhänger der EPDP nicht asylrelevant. Zum einen habe der Grund der Entführung in der Lösegelderpressung gelegen, so dass kein relevantes Verfolgungsmotiv vorliegen würde. Zum andern sei der Beschwerdeführer auch bereits nach kurzer Zeit wieder freigelassen worden, so dass keine genügende Verfolgungsintensität vorliegen würde. Schliesslich seien auch die Schilderungen im Zusammenhang mit der Entführung nicht frei von Widersprüchen. So habe der Beschwerdeführer angegeben, dass er sich zum Zeitpunkt der Entführung auf dem Nachhauseweg nach dem Abholen des beantragten Passes befunden habe. Als Ausstellungsort des Passes habe der Beschwerdeführer in der BzP die Bezirksverwaltung in Q._______, in der Zweitanhörung jedoch den Dorfvorsteher genannt.</w:t>
      </w:r>
    </w:p>
    <w:p>
      <w:r>
        <w:rPr>
          <w:b/>
        </w:rPr>
        <w:t>E. 4.2</w:t>
      </w:r>
    </w:p>
    <w:p>
      <w:r>
        <w:t>Der Beschwerdeführer bringt in der Rechtsmitteleingabe vor, dass er nach seiner zweiten Verhaftung zunächst ins Camp von X._______ gebracht worden sei und erst später in dasjenige in W._______. Der dies­bezügliche angebliche Widerspruch sei auf eine falsche Übersetzung und Interpretation seiner Aussage zurückzuführen. Bezüglich des muslimischen Soldaten sei zutreffend, dass dieser ihm gesagt habe, dass an derselben Stelle ein Mann getötet worden sei und er (der Beschwerdeführer) fliehen solle, da er sonst wie B._______ erschossen werde. Richtig sei auch, dass er von diesem Armeeangehörigen mehrmals verhört worden sei. Diese Aussagen seien nicht widersprüchlich, sondern würden sich gegenseitig ergänzen. Die angeblich widersprüchlichen Aussagen, dass er einmal von einem "Soldaten" und einmal von einer "Person höherer Position" gesprochen habe, seien eine reine Überset­zungsfeinheit. Die angegebenen Verhaftungsgründe seien nicht unterschiedlich, sondern dieselben. Er sei verhaftet worden, weil er bei der Studentenvereinigung aktiv gewesen sei, die mit den LTTE in Verbindung gestanden habe. Bei jener habe er Fotos gemacht und an Protestkundgebungen teilgenommen. Bei den LTTE habe er ein Training absolviert und dem Anführer der lokalen Gruppe (B._______) Unterschlupf gewährt. Die Aktivitäten bei der Studentenvereinigung und diejenigen bei den LTTE könnten nicht strikte getrennt werden, sondern seien miteinander verbunden. Auch die Angaben zu B._______ seien glaubhaft. So habe er bereits in der BzP von der Studentenvereinigung und dem Training der LTTE erzählt. B._______ sei der Anführer der lokalen LTTE-Gruppe gewesen, die mit dem Studentenverein in Verbindung gestanden habe. Die Aussage, dass man den Beschwerdeführer genauso wie B._______ erschiessen würde, sei nicht in der Verbindung zu B._______ an sich, sondern in seinen Aktivitäten für die LTTE begründet gewesen.</w:t>
      </w:r>
    </w:p>
    <w:p>
      <w:r>
        <w:rPr>
          <w:b/>
        </w:rPr>
        <w:t>E. 4.3</w:t>
      </w:r>
    </w:p>
    <w:p>
      <w:r>
        <w:t>Das Bundesverwaltungsgericht teilt die Einschätzung der Vorinstanz, da die für die Glaubhaftmachung im Sinne von Art. 7 AsylG geltenden Kriterien (vgl. Entscheidungen und Mitteilungen der Schweizerischen Asylre­kurskommission [EMARK] 1996 Nr. 27 E. 3c/aa S. 263 und 1996 Nr. 28 E. 3a S. 270) nicht als erfüllt zu erachten sind. Eine wahrheitsgemässe Schilderung ist demnach gekennzeichnet durch Korrektheit, Originalität, hinreichende Präzision und innere Übereinstimmung. Bei der Beurteilung der Glaubhaftigkeit geht es um eine Gesamtbeurteilung aller Elemente (Übereinstimmung bezüglich des wesentlichen Sachverhalts, Substantiiertheit und Plausibilität der Angaben, persönliche Glaubwürdigkeit etc.), die für oder gegen den Beschwerdeführer sprechen. Glaubhaftigkeit setzt dabei ein Überwiegen der positiven Elemente voraus. Es genügt daher nicht, wenn der Inhalt des Vorbringens zwar möglich ist, die Gesamtbeurteilung aber wesentlich und überwiegend gegen die vorgebrachte Sachver­haltsdarstellung spricht (vgl. EMARK 1996 Nr. 28 E. 3a S. 270).</w:t>
      </w:r>
    </w:p>
    <w:p>
      <w:r>
        <w:rPr>
          <w:b/>
        </w:rPr>
        <w:t>E. 4.4</w:t>
      </w:r>
    </w:p>
    <w:p>
      <w:r>
        <w:t>Die Auffassung der Vorinstanz, dass die Ausführungen des Beschwer­deführers in zentralen Punkten widersprüchlich ausgefallen seien, ist zutreffend. Die von der Vorinstanz aufgezeigten Widersprüche werden auch nicht durch die Vorbringen in der Beschwerdeschrift entkräftet. So lässt sich die Diskrepanz in den Angaben, in welches Camp der Beschwerdeführer nach der zweiten Verhaftung verbracht worden sei, nicht überzeugend mit einem Übersetzungs- und Interpretationsfehler erklären. Beide Anhörungsprotokolle wurden rückübersetzt und sind vom Beschwer­de­führer unterzeichnet, der angegeben hatte, die mitwirkenden Dol­metscher "gut" zu verstehen (vgl. act. A3/10 S. 2 und 8; act. A9/20 F1). Auch dem Wortlaut des Protokolls der zweiten Anhörung lassen sich keine Anhaltspunkte für ein Versehen oder einen Übersetzungsfehler entnehmen, zumal der Beschwerdeführer explizit gefragt wurde, ob er nach der Festnah­me direkt ins Camp W._______ verbracht worden sei (act. A9/20 F92) und selbst auf den Widerspruch angesprochen (die angeblich falsche Aussage) zu Protokoll gab, dass er direkt ins Camp W._______ gebracht worden sei (a.a.O. F108). Wie auch bereits das BFM festgestellt hat, ist es kaum verständlich, wieso der Beschwerdeführer in der BzP die für seine Verhaftung zentrale Per­son B._______, bei der es sich gemäss Beschwerdeschrift um den Anführer der lokalen LTTE-Gruppe gehandelt haben soll, mit keinem Wort erwähn­te. Auch die Angaben zum Ausstellungsort des Passes sind - wie bereits vom BFM zutreffend ausgeführt wurde - widersprüchlich. Obschon es sich dabei nicht um einen zentralen Punkt in den Asylvorbringen des Beschwer­deführers handelt, spricht auch dieser Punkt gegen die Glaubhaftig­keit der Ausführungen, wenn auch nur in geringerem Ausmass, als die oben genannten Widersprüche in zentralen Punkten des Asylbegehrens. Gegen die Glaubhaftigkeit spricht auch der Umstand, dass die Behörden dem Beschwerdeführer - trotz seiner angeblichen Flucht im (Datum) und der nachträglichen intensiven Suche durch das Militär - am (Datum) [recte: (Datum)] einen Führerschein ausgestellt haben (act. A9/20 F17).</w:t>
      </w:r>
    </w:p>
    <w:p>
      <w:r>
        <w:rPr>
          <w:b/>
        </w:rPr>
        <w:t>E. 4.5</w:t>
      </w:r>
    </w:p>
    <w:p>
      <w:r>
        <w:t>Aus diesen Erwägungen folgt, dass die zweite Verhaftung nicht rechts­genüglich glaubhaft gemacht werden konnte.</w:t>
      </w:r>
    </w:p>
    <w:p>
      <w:r>
        <w:rPr>
          <w:b/>
        </w:rPr>
        <w:t>E. 4.6</w:t>
      </w:r>
    </w:p>
    <w:p>
      <w:r>
        <w:t>Eine Glaubhaftigkeitsprüfung der ersten Verhaftung hat nicht zu erfolgen, da dieses Vorkommnis ohnehin nicht geeignet wäre, die Flüchtlingseigenschaft des Beschwerdeführers zu begründen. Die Feststellung des BFM, dass die Kausalität (vgl. dazu EMARK 2000 Nr. 17 E. 11a S. 157 f.) dieser zweiwöchigen Haft im Jahre 2008, verbunden mit einer rund sechs­wöchigen Meldepflicht, und der Ausreise im August 2010 zu verneinen sei, ist zutreffend.</w:t>
      </w:r>
    </w:p>
    <w:p>
      <w:r>
        <w:rPr>
          <w:b/>
        </w:rPr>
        <w:t>E. 4.7</w:t>
      </w:r>
    </w:p>
    <w:p>
      <w:r>
        <w:t>Schliesslich gilt es noch zu prüfen, ob der Beschwerdeführer einer Risi­ko­gruppe im Sinne des Grundsatzentscheides BVGE 2011/24 angehört.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 Der Beschwerdeführer machte geltend, dass er einer Studentenvereinigung, die Verbindungen zu den LTTE unterhalten habe, angehört habe und seine Aufgabe darin bestanden habe, Demonstrationen zu koordinieren (act. A9/20 F53), wobei es sich bei diesen Demonstrationen nicht um ei­gentliche LTTE-Propaganda gehandelt habe, sondern für Studentenrech­te und die Rechte von Tamilen demonstriert worden sei (a.a.O. F44). Er selbst sei nie Mitglied der LTTE gewesen (a.a.O. F45), habe aber an ei­nem Selbstverteidigungstraining der LTTE teilnehmen müssen (a.a.O. F45 f.). Diese Vorbringen sind nicht geeignet, ein asylrelevantes Risikoprofil zu be­gründen. Die sri-lankischen Behörden richten den Fokus auf ehemalige Füh­rungskräf­te der LTTE oder auf Personen, welche in namhafter Weise für diese Organisation tätig waren und aus diesem Grund eine Gefahr für den Staat darstellen. Der Beschwerdeführer war aber weder Mitglied der LTTE, noch war er für diese tätig. Wie bereits weiter oben ausgeführt, erach­tet das Gericht die Behauptung des Beschwerdeführers, dass er B._______ und somit einer Führungspersönlichkeit der LTTE, Unterschlupf gewährt habe, für nicht glaubhaft. Gegen ein Risikoprofil spricht auch der Um­stand, dass der Beschwerdeführer bereits kurze Zeit nach der ersten Verhaftung freigelassen wurde. Dies lässt darauf schliessen, dass die sri-lankische Armee ihn nicht ernsthaft verdächtigt hat, mit den LTTE oder einer anderen militanten Organisation zu kooperieren. Schliesslich wurde ihm durch die sri-lankischen Behörden noch im (Datum) ein provisorischer, im (Datum) dann eine definitiver Führerschein problemlos ausge­stellt (act. A9/20 F16 bis F19). Der Beschwerdeführer gehört somit keiner gefährdeten Risikogruppe an.</w:t>
      </w:r>
    </w:p>
    <w:p>
      <w:r>
        <w:rPr>
          <w:b/>
        </w:rPr>
        <w:t>E. 4.8</w:t>
      </w:r>
    </w:p>
    <w:p>
      <w:r>
        <w:t>Das BFM hat demnach zu Recht die Flüchtlingseigenschaft verneint und das Asylgesuch abgelehnt.</w:t>
      </w:r>
    </w:p>
    <w:p>
      <w:r>
        <w:rPr>
          <w:b/>
        </w:rPr>
        <w:t>E. 5.1</w:t>
      </w:r>
    </w:p>
    <w:p>
      <w:r>
        <w:t>Lehnt das Bundesamt das Asylgesuch ab, so verfügt es in der Regel die Wegweisung aus der Schweiz und ordnet den Vollzug an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dem Beschwerdeführer nicht gelungen.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Nach dem Gesagten ist der Vollzug der Wegweisung so­wohl im Sinne der asyl- als auch der völkerrechtlichen Bestimmungen zuläs­sig.</w:t>
      </w:r>
    </w:p>
    <w:p>
      <w:r>
        <w:rPr>
          <w:b/>
        </w:rPr>
        <w:t>E. 8.1</w:t>
      </w:r>
    </w:p>
    <w:p>
      <w:r>
        <w:t>Gemäss Art. 83 Abs. 4 AuG ist der Vollzug der Wegweisung insbeson­de­re dann nicht zumutbar, wenn die beschwerdeführende Per­son bei einer Rückkehr in ihren Heimatstaat einer konkreten Gefährdung ausge­setzt wäre.</w:t>
      </w:r>
    </w:p>
    <w:p>
      <w:r>
        <w:rPr>
          <w:b/>
        </w:rPr>
        <w:t>E. 8.2</w:t>
      </w:r>
    </w:p>
    <w:p>
      <w:r>
        <w:t>In der angefochtenen Verfügung vom 12. April 2012 hielt das BFM zur Zumutbarkeit des Wegweisungsvollzuges fest, eine solche sei für das Vanni-Gebiet aufgrund der dortigen Lage nach wie vor zu verneinen. Der Be­schwerdeführer stamme jedoch aus X._______ (Jaffna-Distrikt). Dort wür­den auch seine Eltern und Schwestern leben. Der Beschwerdeführer habe eine gute Schuldbildung und sei noch jung. Es sprächen demnach we­der die vor Ort herrschende Sicherheitslage noch individuelle Gründe ge­gen die Zumut­barkeit des Vollzugs.</w:t>
      </w:r>
    </w:p>
    <w:p>
      <w:r>
        <w:rPr>
          <w:b/>
        </w:rPr>
        <w:t>E. 8.3</w:t>
      </w:r>
    </w:p>
    <w:p>
      <w:r>
        <w:t>Der Beschwerdeführer macht demgegenüber geltend, dass sein Leben und seine Freiheit bei einer Rückkehr nach Sri Lanka gefährdet wären, da man ihn erneut verhaften würde.</w:t>
      </w:r>
    </w:p>
    <w:p>
      <w:r>
        <w:rPr>
          <w:b/>
        </w:rPr>
        <w:t>E. 8.4</w:t>
      </w:r>
    </w:p>
    <w:p>
      <w:r>
        <w:t>Im erwähnten Urteil BVGE 2011/24 hielt das Gericht betreffend den Wegweisungsvollzug fest, dass dieser in das ge­samte Gebiet der Ostprovinz grundsätzlich zumutbar sei (BVGE 2011/24 E. 13.1). Auch der Weg­weisungsvollzug in die Nordprovinz - mit Ausnahme des Vanni-Ge­biets - sei grundsätzlich zumutbar, wobei sich eine zurückhal­tende Beurtei­lung der individuellen Zumutbarkeitskriterien sowie eine Be­rücksichti­gung des zeit­lichen Elementes aufdrängten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8.5</w:t>
      </w:r>
    </w:p>
    <w:p>
      <w:r>
        <w:t>Der Beschwerdeführer stammt aus X._______ (Jaffna-Distrikt). Dort hal­ten sich gemäss eigenen Angaben seine Eltern und Schwestern auf (act. A3/10 3.01). Der Beschwerdeführer war zwar noch nie erwerbstätig, ver­fügt aber über eine gute Schulbildung (O-Level Abschluss und 1,5 Jahre A-Level-Niveau, jedoch ohne Abschluss; vgl. a.a.O. 1.17.04). Er ist über­dies jung und gesund. Aus den Verfahrensakten und na­mentlich der Be­schwerdeschrift gehen keine konkreten Anzeichen hervor, wonach sich die Lebensumstände des Beschwerdeführers seit dem Zeit­punkt der im erst­instanzlichen Verfahren gemachten Angaben massgeb­lich verändert ha­ben sollten. Es werden auch keine massgeblichen medizinischen Leiden geltend gemacht. Er verfügt somit in seiner Heimatstaat über ein trag­fähi­ges familiäres Beziehungsnetz und eine gute Schulbildung, was ihm eine soziale und wirtschaftliche Wiedereingliederung ermögli­chen sollte.</w:t>
      </w:r>
    </w:p>
    <w:p>
      <w:r>
        <w:rPr>
          <w:b/>
        </w:rPr>
        <w:t>E. 8.6</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Das Bundesverwaltungsgericht hat das Gesuch um Gewährung der unent­geltlichen Prozessführung im Sinne von Art. 65 Abs. 1 VwVG mit In­struk­tionsverfügung vom 24. Mai 2012 gutgeheissen, so dass im vorliegen­den Verfahren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