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D-272/2012 vom 4. April 2012</w:t>
      </w:r>
    </w:p>
    <w:p>
      <w:r>
        <w:t>Bundesverwaltungsgericht, 2012-04-04, DE</w:t>
      </w:r>
    </w:p>
    <w:p>
      <w:r>
        <w:rPr>
          <w:b/>
        </w:rPr>
        <w:t xml:space="preserve">Quelle: </w:t>
      </w:r>
      <w:r>
        <w:t>https://mcp.opencaselaw.ch/entscheid/bvger_D-272_2012</w:t>
      </w:r>
    </w:p>
    <w:p>
      <w:r>
        <w:t>FR: TAF D-272/2012 du 4 avril 2012</w:t>
      </w:r>
    </w:p>
    <w:p>
      <w:r>
        <w:t>IT: TAF D-272/2012 del 4 aprile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Art. 52 Abs. 2 AsylG).</w:t>
      </w:r>
    </w:p>
    <w:p>
      <w:r>
        <w:rPr>
          <w:b/>
        </w:rPr>
        <w:t>E. 4</w:t>
      </w:r>
    </w:p>
    <w:p>
      <w:r>
        <w:t>Gemäss Praxis des Bundesverwaltungsgerichts ist die asylsuchende Per­son im Auslandverfahren in der Regel zu befragen. Davon kann nur abgewi­chen werden, wenn eine Befragung faktisch oder aus organisatori­schen beziehungsweise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(vgl. BVGE 2007/30 E. 5). Das BFM hat keine Befragung durchgeführt und den damit einhergehen­den Ver­fahrensumständen im Rahmen der Zwischenverfü­gun­gen vom 25. August 2011 und 10. November 2011 hinreichend Rech­nung getragen.</w:t>
      </w:r>
    </w:p>
    <w:p>
      <w:r>
        <w:rPr>
          <w:b/>
        </w:rPr>
        <w:t>E. 5.1</w:t>
      </w:r>
    </w:p>
    <w:p>
      <w:r>
        <w:t>In Übereinstimmung mit der Vorinstanz ist zunächst festzustellen, dass eine flüchtlingsrechtlich relevante Gefährdung der Beschwerdefüh­ren­den im Falle ihrer Rückkehr nach Eritrea durchaus gegeben sein könnte. Sie befinden sich aktuell indes in Äthiopien, was hinsichtlich der bei ei­nem im Ausland gestellten Asylgesuch weiter zu prüfenden Frage, ob ihnen die Aufnahme in einem Drittstaat zugemutet werden kann, zu be­rück­sichtigen ist (Art. 52 Abs. 2 AsylG). In Äthiopien sind sie seit (...). Gemäss Aktenlage sind sie vom UNHCR registriert worden. Sie machen aber geltend, im Lager unter sehr schwierigen Verhältnissen zu leiden. Der Vater respektive Ehemann sei verschwunden.</w:t>
      </w:r>
    </w:p>
    <w:p>
      <w:r>
        <w:rPr>
          <w:b/>
        </w:rPr>
        <w:t>E. 5.2</w:t>
      </w:r>
    </w:p>
    <w:p>
      <w:r>
        <w:t>Die Argumente der Beschwerdeführenden vermögen jedoch nicht zu überzeu­gen. Vorab ist auf die ausführlichen Erwägungen des BFM zu ihrer konkre­ten Situation im Lager vor Ort hinzuweisen. Dass die Vorinstanz da­bei den einzelfallspezifischen Vorbringen im Sinne einer Gehörsverlet­zung nicht gerecht geworden wäre, lässt sich den Erwägungen entgegen den Beschwerdevorbringen nicht entnehmen. Vielmehr hat das BFM aus­führlich aufgezeigt, dass es der Beschwerdeführerin objek­tiv zumutbar ist, den in diesem Land gegenüber der Verfol­gungsgefahr im Heimatstaat beste­henden Schutz weiterhin in Anspruch zu nehmen. Diese Praxis, wo­nach im Drittstaat Äthiopien der UNHCR-Schutz von Betroffenen grundsätz­lich vorhanden und in Anspruch zu nehmen ist, wird im Übrigen auch vom Bundesverwaltungsgericht bestätigt (vgl. dazu E-145/2010 vom 11. Februar 2010 und E-2545/2011 vom 7. Juni 2011). So ist es der Be­schwerdeführerin unbenommen, sich an die örtliche Vertretung des UNHCR zu wenden, falls sie sich bei der Berücksichtigung gesundheitli­cher und anderer Probleme benachteiligt fühlen sollte. Dies gilt auch in Be­zug auf die geltend gemachte Gefahr einer Entführung oder einer Depor­tation nach Eritrea. Konkrete Anhaltspunkte für eine solche Gefahr werden in der Beschwerde zwar insofern geltend gemacht, als der Ehe­mann respektive Vater der Beschwerdeführenden verschwunden sein soll. Das BFM hält in der Vernehmlassung aber zurecht dagegen, das Vor­bringen sei lediglich behauptet und nicht belegt. Auch nach gewährter Fristerstreckung waren die Beschwerdeführenden nicht in der Lage, irgend­welche beweistauglichen Belege für das Verschwinden beizubrin­gen. Die Sichtweise des BFM, wonach es sich beim Verschwinden nicht um einen tatsächlichen Vorfall handelt, erfährt so eine zusätzliche Berechti­gung.</w:t>
      </w:r>
    </w:p>
    <w:p>
      <w:r>
        <w:rPr>
          <w:b/>
        </w:rPr>
        <w:t>E. 5.3</w:t>
      </w:r>
    </w:p>
    <w:p>
      <w:r>
        <w:t>Weiter kam das BFM zum Schluss, die Abwägung der Gesamtum­stände und die Anknüpfung der Beschwerdeführenden zur Schweiz, wel­che durch die Person der beiden Brüder beziehungsweise Onkel geschaf­fen werde, führe nicht dazu, dass es gerade die Schweiz sein müsse, die den Schutz der Beschwerdeführenden zu gewähren habe. Dieser Einschät­zung der Sachlage und der Feststellung, dass die durch die ver­wandschaftliche Beziehung zum Rechtsvertreter und bestehende Verbin­dung nicht eine enge Beziehungsnähe zu Schweiz darstelle, ist zuzustim­men. Soweit sich die Beschwerdeführerin in diesem Zusammenhang auf ei­nen gutheissenden Entscheid des Bundesverwaltungsgerichts beruft (D-4952 vom 29. September 2011), ist festzuhalten, dass die dort themati­sierte Beziehungsnähe zur Schweiz nicht mit der ihren vergleich­bar ist und sie nach dem Gesagten überdies nicht glaubhaft machen konnte, nunmehr alleinerziehend zu sein.</w:t>
      </w:r>
    </w:p>
    <w:p>
      <w:r>
        <w:rPr>
          <w:b/>
        </w:rPr>
        <w:t>E. 5.4</w:t>
      </w:r>
    </w:p>
    <w:p>
      <w:r>
        <w:t>Eine Schutzgewährung durch die Schweiz aufgrund einer entsprechen­den Schutzbedürftigkeit erscheint somit gestützt auf Art. 52 Abs. 2 AsylG unter Berücksichtigung aller Umstände nicht als erforderlich.</w:t>
      </w:r>
    </w:p>
    <w:p>
      <w:r>
        <w:rPr>
          <w:b/>
        </w:rPr>
        <w:t>E. 5.5</w:t>
      </w:r>
    </w:p>
    <w:p>
      <w:r>
        <w:t>Das BFM hat mithin zu Recht die Einreise der Beschwerdeführenden in die Schweiz gestützt auf Art. 20 Abs. 2 und 3 AsylG verweigert und ihr Asylgesuch gestützt auf Art. 3 AsylG abgelehnt.</w:t>
      </w:r>
    </w:p>
    <w:p>
      <w:r>
        <w:rPr>
          <w:b/>
        </w:rPr>
        <w:t>E. 6.1</w:t>
      </w:r>
    </w:p>
    <w:p>
      <w:r>
        <w:t>Ehegatten von Flüchtlingen und ihre minderjährigen Kinder werden als Flüchtlinge anerkannt und erhalten Asyl, sofern keine besonderen Um­stände dagegen sprechen (Art. 51 Abs. 1 AsylG). Andere nahe Angehö­rige von in der Schweiz lebenden Flüchtlingen können in das Familien­asyl eingeschlossen werden, wenn besondere Gründe für die Familienverei­nigung sprechen (Ar. 51 Abs. 2 AsylG).</w:t>
      </w:r>
    </w:p>
    <w:p>
      <w:r>
        <w:rPr>
          <w:b/>
        </w:rPr>
        <w:t>E. 6.2</w:t>
      </w:r>
    </w:p>
    <w:p>
      <w:r>
        <w:t>In seinem Entscheid hat das BFM die Anforderungen von Art. 51 AsylG im Falle der in Äthiopien verbliebenen Schwester und Nichte des Rechtsvertre­ters als nicht erfüllt erkannt und die Erteilung einer Einrei­sebewilligung auch gestützt auf diese Gesetzesbestimmung verwei­gert. Zur Begründung wird vom BFM zur Hauptsache angeführt, es werde nicht die Wiedervereinigung einer Kernfamilie im eigentlichen Sinne, son­dern die Zusammenführung von nahen Verwandten beantragt. In diesem Zu­sammenhang konnte das BFM keine besonders enge Beziehung der Be­schwerdeführenden zum Rechtsvertreter (Bruder beziehungsweise On­kel) im Sinne besonderer Umstände erkennen. Eine solche ist auch den Beschwerdeeingaben nicht zu entnehmen. Die geltend gemachte finan­zielle und moralische Hilfe kann den Beschwerdeführenden weiter­hin von der Schweiz aus zukommen. Bei dieser Sachlage erübrigt sich auch die Prüfung der Frage, ob die erforderliche Trennung durch Flucht überhaupt vorliegen würde.</w:t>
      </w:r>
    </w:p>
    <w:p>
      <w:r>
        <w:rPr>
          <w:b/>
        </w:rPr>
        <w:t>E. 7</w:t>
      </w:r>
    </w:p>
    <w:p>
      <w:r>
        <w:t>Eine Schutzgewährung durch die Schweiz kommt somit auch gestützt auf Art. 51 AsylG unter Berücksichtigung aller Umstände nicht in Betracht.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den Beschwerdeführenden aufzuerlegen (Art. 63 Abs. 1 VwVG). Da das Gesuch im Sinne von Art. 65 Abs. 1 VwVG mit Zwischenverfügung vom 19. Ja­nuar 2012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