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D-2724/2015 vom 21. Mai 2015</w:t>
      </w:r>
    </w:p>
    <w:p>
      <w:r>
        <w:t>Bundesverwaltungsgericht, 2015-05-21, DE</w:t>
      </w:r>
    </w:p>
    <w:p>
      <w:r>
        <w:rPr>
          <w:b/>
        </w:rPr>
        <w:t xml:space="preserve">Quelle: </w:t>
      </w:r>
      <w:r>
        <w:t>https://mcp.opencaselaw.ch/entscheid/bvger_D-2724_2015</w:t>
      </w:r>
    </w:p>
    <w:p>
      <w:r>
        <w:t>FR: TAF D-2724/2015 du 21 mai 2015</w:t>
      </w:r>
    </w:p>
    <w:p>
      <w:r>
        <w:t>IT: TAF D-2724/2015 del 21 maggio 2015</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hier nicht der Fall ist - bei Vorliegen eines Auslieferungsgesuches des Staates, vor welchem die beschwerdeführende Person Schutz sucht (Art. 105 AsylG [SR 142.31]; Art. 83 Bst. c Ziff. 1 und Bst. d Ziff. 1 BGG).</w:t>
      </w:r>
    </w:p>
    <w:p>
      <w:r>
        <w:rPr>
          <w:b/>
        </w:rPr>
        <w:t>E. 1.2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VwVG). Auf die frist- und formgerecht eingereichte Beschwerde (Art. 108 Abs. 1 AsylG; Art. 105 AsylG i.V.m. Art. 37 VGG und Art. 52 Abs. 1 VwVG) ist somit einzutreten.</w:t>
      </w:r>
    </w:p>
    <w:p>
      <w:r>
        <w:rPr>
          <w:b/>
        </w:rPr>
        <w:t>E. 2</w:t>
      </w:r>
    </w:p>
    <w:p>
      <w:r>
        <w:t>Mit Beschwerde können die Verletzung von Bundesrecht und die unrichtige oder unvollständige Feststellung des rechtserheblichen Sachverhalts gerügt werden (Art. 106 Abs. 1 AsylG).</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4.1</w:t>
      </w:r>
    </w:p>
    <w:p>
      <w:r>
        <w:t>Gemäss Art. 51 Abs. 1 AsylG werden - unter dem Titel Familienasyl - Ehegatten von asylberechtigten Flüchtlingen und deren minderjährige Kinder ihrerseits als Flüchtlinge anerkannt und erhalten Asyl, sofern keine besonderen Umstände dagegen sprechen.</w:t>
      </w:r>
    </w:p>
    <w:p>
      <w:r>
        <w:rPr>
          <w:b/>
        </w:rPr>
        <w:t>E. 4.2</w:t>
      </w:r>
    </w:p>
    <w:p>
      <w:r>
        <w:t>Gemäss aArt. 51 Abs. 2 AsylG können andere nahe Angehörige von in der Schweiz lebenden Flüchtlingen in das Familienasyl eingeschlossen werden, wenn besondere Gründe für die Familienvereinigung sprechen.</w:t>
      </w:r>
    </w:p>
    <w:p>
      <w:r>
        <w:rPr>
          <w:b/>
        </w:rPr>
        <w:t>E. 5.1</w:t>
      </w:r>
    </w:p>
    <w:p>
      <w:r>
        <w:t>Das SEM führt zur Begründung seiner Verfügung namentlich aus, der Beschwerdeführer habe in seinem Schreiben vom 26. September 2014 ausgeführt, die leibliche Mutter von B._______ heisse D._______, der Vater H._______. Im eingereichten Baptism Certificate sei jedoch er selber und als Mutter eine Person namens G._______ aufgeführt. Im Rahmen der Gewährung des rechtlichen Gehörs habe er am 26. Februar 2015 einerseits bestätigt, B._______ nicht adoptiert zu haben, weil dies im Sudan gar nicht möglich sei. Die leibliche Mutter habe sich jedoch vor mehreren Zeugen bereit erklärt, dass ihre Tochter fortan nicht mehr bei ihr, sondern bei ihm, dem Beschwerdeführer, leben solle. Die widersprüchlichen Angaben zur leiblichen Mutter von B._______ habe der Beschwerdeführer auf Missverständnisse beziehungsweise Übersetzungsfehler zurückgeführt. Dass er im Taufschein als Vater aufgeführt sei, sei darauf zurückzuführen, dass bereits damals vereinbart gewesen sei, dass B._______ künftig bei ihm leben sollte. Diese Erklärungen würden nicht wirklich überzeugen und zusätzlich den geringen Beweiswert von Taufscheinen unterstreichen. Zusammenfassend ergebe sich, dass B._______ nicht das Adoptivkind des Beschwerdeführers sei, weshalb sie nicht zum Kreis der Begünstigten im Sinne von Art. 51 Abs. 1 AsylG gehöre. Demgegenüber sei die Bestimmung von aArt. 51 Abs. 2 AsylG gemäss dem Urteil des Bundesverwaltungsgerichts D-1590/2014 vom 8. Dezember 2014 per 1. Februar 2014 nicht mehr anwendbar, weshalb das vorliegende Familienzusammenführungsgesuch unter diesem Gesichtspunkt als gegenstandslos geworden abgeschrieben werden müsse.</w:t>
      </w:r>
    </w:p>
    <w:p>
      <w:r>
        <w:rPr>
          <w:b/>
        </w:rPr>
        <w:t>E. 5.2</w:t>
      </w:r>
    </w:p>
    <w:p>
      <w:r>
        <w:t>In der Beschwerde wird demgegenüber geltend gemacht, der Beschwerdeführer habe bereits anlässlich seiner Befragung zur Person im Jahr 2009 geltend gemacht, eine Pflegetochter grossgezogen zu haben. Er habe B._______ nicht offiziell adoptiert, da dies im Sudan nach dem dort geltenden islamischen Recht nicht möglich sei. Die Vorinstanz habe in der angefochtenen Verfügung nicht angezweifelt, dass B._______ beim Beschwerdeführer aufgewachsen sei und die Einreise letztlich nur aufgrund der fehlenden Adoption verweigert, was unrichtig sei, da eine solche im Sudan eben nicht möglich, gar verboten sei. Jedoch sei das Pflegekindverhältnis zum Beschwerdeführer durch das Taufzertifikat der eritreischen orthodoxen Kirche bestätigt, wo der Beschwerdeführer als Vater aufgeführt sei und B._______ nach eritreischem Brauch den Vornamen des Vaters als Nachnamen trage. Folglich sei im vorliegenden Fall für die Prüfung der Frage der Erteilung einer Einreisebewilligung im Sinne von Art. 51 Abs. 1 AsylG einzig zu berücksichtigen, ob B._______ und der Beschwerdeführer vor dessen Ausreise in einem gemeinsamen Haushalt gelebt hätten beziehungsweise durch dessen Flucht in die Schweiz im Jahr 2008 getrennt worden seien.</w:t>
      </w:r>
    </w:p>
    <w:p>
      <w:r>
        <w:rPr>
          <w:b/>
        </w:rPr>
        <w:t>E. 5.3</w:t>
      </w:r>
    </w:p>
    <w:p>
      <w:r>
        <w:t>Wie den Akten zu entnehmen ist, ist der Beschwerdeführer weder der leibliche Vater von B._______ noch hat er das Mädchen adoptiert. Nach dem Schweizer Rechtsverständnis wird indessen das Kindsverhältnis nur durch natürliche Abstammung oder durch Adoption begründet. Mangels Adoption kann der Beschwerdeführer somit bloss als Pflegevater von B._______ gelten, womit diese nicht zum Kreis der anspruchsberechtigten Personen im Sinne von Art. 51 Abs. 1 AsylG gerechnet werden kann. Daran vermag auch der Umstand nichts zu ändern, dass der islamisch geprägte Sudan kein Adoptionsrecht nach Schweizer Prägung kennt. Ob und inwieweit ein Pflegekindverhältnis allenfalls unter den erweiterten Familienbegriff im Sinne von aArt. 51 Abs. 2 AsylG fallen könnte, kann im vorliegenden Fall nicht mehr geprüft werden, da diese Bestimmung für am 1. Februar 2014 hängige Verfahren nicht mehr zur Anwendung gelangt beziehungsweise entsprechende Gesuche um Familiennachzug von diesem Zeitpunkt an dahinfallen respektive gegenstandslos werden (vgl. das zur Publikation vorgesehene Urteil des Bundesverwaltungsgerichts D-1590/2014 vom 8. Dezember 2014 E. 6.5.2).</w:t>
      </w:r>
    </w:p>
    <w:p>
      <w:r>
        <w:rPr>
          <w:b/>
        </w:rPr>
        <w:t>E. 5.4</w:t>
      </w:r>
    </w:p>
    <w:p>
      <w:r>
        <w:t>Nur am Rande sei deshalb vermerkt, dass auch ernstliche Zweifel an einer vorbestandenen langjährigen Pflegekindsbeziehung angebracht sind: So erscheint es vorab wenig wahrscheinlich, dass die leibliche Mutter ihr Kind einfach ohne Weiteres dem Beschwerdeführer als Mann anvertraut hätte, weil er als Nachbar zufällig in ihrer Nähe gelebt hätte, selbst wenn sie - wie vom Beschwerdeführer behauptet - kurz nach der Geburt von ihrem Partner verlassen worden wäre. Weiter fällt auf, dass der Beschwerdeführer behauptete, die leibliche Mutter des Kindes heisse D._______, wogegen im Taufzertifikat des Kindes als leibliche Mutter eine Frau namens G._______ vermerkt ist. Der diesbezügliche Erklärungsversuch des Beschwerdeführers, es handle sich hierbei um ein Missverständnis beziehungsweise um einen Übersetzungsfehler in der Kommunikation zwischen ihm und seinem Rechtsvertreter, vermag das Bundesverwaltungsgericht nicht wirklich zu überzeugen. Ferner mutet es seltsam an, dass der Beschwerdeführer trotz angeblich zehnjährigem Pflegekindsverhältnis keinerlei gemeinsame Fotos mit seinem Schützling vorweisen kann und dies lapidar damit begründet, seine Wohnung in Khartum sei im Jahr 2006 ausgebrannt und dabei der ganze Hausrat zerstört worden (vgl. Sachverhalt Bst. D).</w:t>
      </w:r>
    </w:p>
    <w:p>
      <w:r>
        <w:rPr>
          <w:b/>
        </w:rPr>
        <w:t>E. 5.5</w:t>
      </w:r>
    </w:p>
    <w:p>
      <w:r>
        <w:t>Zusammenfassend ist daher festzuhalten, dass das SEM zu Recht das Gesuch um Bewilligung der Einreise zwecks Familienzusammenführung gestützt auf Art. 51 Abs. 1 AsylG abgelehnt und - soweit aArt. 51 Abs. 2 AsylG betreffend - als gegenstandslos geworden abgeschrieben hat.</w:t>
      </w:r>
    </w:p>
    <w:p>
      <w:r>
        <w:rPr>
          <w:b/>
        </w:rPr>
        <w:t>E. 6</w:t>
      </w:r>
    </w:p>
    <w:p>
      <w:r>
        <w:t>Das Gesuch um Gewährung der unentgeltlichen Rechtspflege im Sinne von Art. 65 Abs. 1 VwVG ist ungeachtet der Frage einer allfälligen Bedürftigkeit des Beschwerdeführers, welche im Übrigen bis anhin nicht belegt ist, abzuweisen, da die Beschwerdebegehren - wie sich aus den vorstehenden Erwägungen ergibt - als aussichtslos zu bezeichnen sind und daher die kumulativ zu erfüllenden Voraussetzungen im Sinne von Art. 65 Abs. 1 VwVG nicht gegeben sind. Das Gesuch um Gewährung der unentgeltlichen Prozessführung ist deshalb abzuweisen und die auf insgesamt Fr. 600.- festzusetzenden Verfahrenskosten (Art. 1-3 des Reglements vom 21. Februar 2008 über die Kosten und Entschädigungen vor dem Bundesverwaltungsgericht [VGKE, SR 173.320.2]) sind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