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D-2720/2011 vom 18. Juli 2011</w:t>
      </w:r>
    </w:p>
    <w:p>
      <w:r>
        <w:t>Bundesverwaltungsgericht, 2011-07-18, DE</w:t>
      </w:r>
    </w:p>
    <w:p>
      <w:r>
        <w:rPr>
          <w:b/>
        </w:rPr>
        <w:t xml:space="preserve">Quelle: </w:t>
      </w:r>
      <w:r>
        <w:t>https://mcp.opencaselaw.ch/entscheid/bvger_D-2720_2011</w:t>
      </w:r>
    </w:p>
    <w:p>
      <w:r>
        <w:t>FR: TAF D-2720/2011 du 18 juillet 2011</w:t>
      </w:r>
    </w:p>
    <w:p>
      <w:r>
        <w:t>IT: TAF D-2720/2011 del 18 luglio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 werden den Gesuchstellerinnen auferlegt. Sie sind durch den in der gleichen Höhe geleisteten Kostenvor­schuss gedeckt und werden mit diesem verrechnet.</w:t>
      </w:r>
    </w:p>
    <w:p>
      <w:r>
        <w:rPr>
          <w:b/>
        </w:rPr>
        <w:t>E. 3</w:t>
      </w:r>
    </w:p>
    <w:p>
      <w:r>
        <w:t>Es wird keine Parteientschädigung entrichtet.</w:t>
      </w:r>
    </w:p>
    <w:p>
      <w:r>
        <w:rPr>
          <w:b/>
        </w:rPr>
        <w:t>E. 4</w:t>
      </w:r>
    </w:p>
    <w:p>
      <w:r>
        <w:t>Rechtsanwalt Gabriel Püntener wird wegen Verletzung des gebührenden Anstands im vorliegenden Verfahren mit einer Ordnungsbusse von Fr. 300.- belegt.</w:t>
      </w:r>
    </w:p>
    <w:p>
      <w:r>
        <w:rPr>
          <w:b/>
        </w:rPr>
        <w:t>E. 5</w:t>
      </w:r>
    </w:p>
    <w:p>
      <w:r>
        <w:t>Dieses Urteil geht an die Gesuchstellerinnen, das BFM und die zustän­dige kantonale Behörde. Der vorsitzende Richter: Der Gerichtsschreiber: Walter Lang Christoph Basler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