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D-2718/2020 vom 12. Juni 2020</w:t>
      </w:r>
    </w:p>
    <w:p>
      <w:r>
        <w:t>Bundesverwaltungsgericht, 2020-06-12, DE</w:t>
      </w:r>
    </w:p>
    <w:p>
      <w:r>
        <w:rPr>
          <w:b/>
        </w:rPr>
        <w:t xml:space="preserve">Quelle: </w:t>
      </w:r>
      <w:r>
        <w:t>https://mcp.opencaselaw.ch/entscheid/bvger_D-2718_2020</w:t>
      </w:r>
    </w:p>
    <w:p>
      <w:r>
        <w:t>FR: TAF D-2718/2020 du 12 juin 2020</w:t>
      </w:r>
    </w:p>
    <w:p>
      <w:r>
        <w:t>IT: TAF D-2718/2020 del 12 giugno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i.V.m. Art. 10 der COVID-19-Verordnung Asyl);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Wer um Asyl nachsucht, muss die Flüchtlingseigenschaft nachweisen oder zumindest glaubhaft machen (Art. 7 AsylG).</w:t>
      </w:r>
    </w:p>
    <w:p>
      <w:r>
        <w:rPr>
          <w:b/>
        </w:rPr>
        <w:t>E. 4.1</w:t>
      </w:r>
    </w:p>
    <w:p>
      <w:r>
        <w:t>Das SEM gelangte in seiner angefochtenen Verfügung zum Schluss, die Vorbringen des Beschwerdeführers hielten den Anforderungen an die Flüchtlingseigenschaft gemäss Art. 3 AsylG nicht stand. Es stellte dabei vorab fest,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Den Schilderungen des Beschwerdeführers seien keine Hinweise auf eine asylrechtlich relevante Gefährdung zu entnehmen. Der Gang des Beschwerdeführers zum Gericht und die Anzeige bei der Polizei zeigten, dass der Zugang zur Justiz in Algerien grundsätzlich gewährleistet sei. Im Weiteren handle es sich beim geltend gemachten Konflikt um eine erbrechtliche Streitigkeit, wobei offensichtlich keines der in Art. 3 AsylG abschliessend genannten Verfolgungsmotive ersichtlich seien. Auch die durch die Onkel väterlicherseits bedauerlicherweise erlittene Gewalterfahrung sei in asylrechtlicher Hinsicht als unerheblich zu qualifizieren. Aufgrund der Erlebnisse in der Vergangenheit erscheine es zwar subjektiv nachvollziehbar, dass der Beschwerdeführer sich vor diesen Verwandten fürchte. Aus objektiver Perspektive seien indessen keine Anhaltspunkte für eine andauernde Gefährdungslage ersichtlich, zumal er angegeben habe, nach seinem Umzug nach H._______ keinen Kontakt und auch keine weiteren Probleme mit seinen Onkeln gehabt zu haben. Auch seien seinen Angaben zufolge keine konkreten Anzeichen dafür vorhanden, die darauf schliessen liessen, dass diese Angehörigen ihm weiterhin Probleme bereiten wollten. Sollte er dennoch in Zukunft erneut von ihnen behelligt werden, so sei es ihm unbenommen, sich an die algerischen Behörden zu wenden, die grundsätzlich schutzfähig und schutzwillig seien. Die Ausführungen in der Stellungnahme zum Verfügungsentwurf führten zu keinem anderen Ergebnis.</w:t>
      </w:r>
    </w:p>
    <w:p>
      <w:r>
        <w:rPr>
          <w:b/>
        </w:rPr>
        <w:t>E. 4.2</w:t>
      </w:r>
    </w:p>
    <w:p>
      <w:r>
        <w:t>In der Beschwerdeschrift wird im Wesentlichen auf die anlässlich der Anhörung vom 17. Februar 2020 gemachten Vorbringen verwiesen. Im Weiteren führt der Beschwerdeführer aus, der Zugang zur Justiz in Algerien sei zwar grundsätzlich gewährleistet und er könnte sich betreffend der Erbstreitigkeit an ein Gericht oder an die Polizei wenden. Dabei würde aber der Konflikt mit seinen Onkeln väterlicherseits wieder aufleben, und er könnte in Zukunft nicht mit einem "wirksamen oder effektiven Schutz gegen die Gefährdung des Leibes oder des Lebens durch die Behörden rechnen".</w:t>
      </w:r>
    </w:p>
    <w:p>
      <w:r>
        <w:rPr>
          <w:b/>
        </w:rPr>
        <w:t>E. 4.3</w:t>
      </w:r>
    </w:p>
    <w:p>
      <w:r>
        <w:t>Das Bundesverwaltungsgericht gelangt nach Durchsicht der Akten zum Schluss, dass die Ausführungen in der Beschwerdeschrift nicht geeignet sind, die zutreffenden Erwägungen der Vorinstanz zu entkräften. So liegt den vom Beschwerdeführer geschilderten Nachstellungen durch Verwandte seines verstorbenen Vaters offensichtlich keines der in Art. 3 AsylG abschliessend genannten Verfolgungsmotive zugrunde. Zudem kann nach den Erkenntnissen des Gerichts mit dem SEM davon ausgegangen werden, dass die algerischen Sicherheitsbehörden in der Lage sind, hinreichenden Schutz vor nicht-staatlicher Verfolgung zu gewährleisten und sie grundsätzlich als schutzfähig und -willig bezeichnet werden können (vgl. UK Home Office, Country Policy and Information Note, Algeria: Background information, including actors of protection and internal relocation August 2017 S. 5 f. und S. 19 f., https://www.refworld.org/docid/59ae95be4.html, abgerufen am 4. Juni 2020, sowie Urteil BVGer D-1785/2020 vom 25. Mai 2020 E. 9.1.6, mit weiteren Hinweisen). Im Übrigen stellt der Beschwerdeführer auch nicht in Abrede, dass der algerische Staat grundsätzlich seiner Schutzpflicht nachkommt und auch in der Lage ist, Antragstellenden Schutz zu gewähren (vgl. Beschwerde S. 2 Mitte). Zur Vermeidung unnötiger Wiederholungen kann im Übrigen auf die zutreffenden Ausführungen in der angefochtenen Verfügung (Ziff. II) sowie auf die Darstellung unter E. 4.1 vorstehend verwiesen werden.</w:t>
      </w:r>
    </w:p>
    <w:p>
      <w:r>
        <w:rPr>
          <w:b/>
        </w:rPr>
        <w:t>E. 4.4</w:t>
      </w:r>
    </w:p>
    <w:p>
      <w:r>
        <w:t>Nach dem Gesagten hat das SEM zu Recht die Flüchtlingseigenschaft des Beschwerdeführers verneint und sein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6.2.2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Das ist ihm jedoch nicht gelungen, wobei an dieser Stelle nochmals darauf hinzuweisen ist, dass es sich bei den geltend gemachten Nachstellungen durch Verwandte um Übergriffe privater Drittpersonen handelt und sich der Beschwerdeführer deswegen an die als schutzfähig und schutzwillig erachteten algerischen Behörden wenden könnte.</w:t>
      </w:r>
    </w:p>
    <w:p>
      <w:r>
        <w:rPr>
          <w:b/>
        </w:rPr>
        <w:t>E. 6.2.3</w:t>
      </w:r>
    </w:p>
    <w:p>
      <w:r>
        <w:t>Das SEM erachtete schliesslich den Vollzug der Wegweisung zu Recht auch unter dem Blickwinkel des Übereinkommens vom 20. November 1989 über die Rechte des Kindes (KRK, SR 0.107) als zulässig. Es hielt dabei - unter Hinweis auf die bundesgerichtliche Rechtsprechung (insbesondere BGE 112 1b 184 und 108 1b 187) und die Botschaft des Bundesrates vom 29. Juni 1994 betreffend die in der KRK enthaltenen Bestimmungen über den Schutz und die Unterstützung des Kindes (BBl 1994 V 20) - fest, der Vollzug der Wegweisung sei in diesem Zusammenhang nur unzulässig, wenn er auf einer Bestimmung des schweizerischen Rechts oder der Behördenpraxis beruhe, die mit den allgemeinen Richtlinien der KRK nicht vereinbar sei. Die Behörden seien folglich gehalten, die Tragweite der erwähnten Verpflichtungen im innerstaatlichen Rechts zu konkretisieren. Zum einen seien diese Verpflichtungen gegenwärtig im Rahmen gewisser gesetzlicher und reglementarischer Normen im Ausländer- und Asylrecht präzisiert, und der Schutz ausländischer Minderjähriger sei während ihres Aufenthalts in der Schweiz im Zivilgesetzbuch geregelt. Andererseits stellten die internationalen Verpflichtungen einen Leitgedanken für die schweizerischen Behörden in gesetzgeberischer und verwaltungsrechtlicher Hinsicht dar (vgl. SEM-Verfügung Ziff. III 1.).</w:t>
      </w:r>
    </w:p>
    <w:p>
      <w:r>
        <w:rPr>
          <w:b/>
        </w:rPr>
        <w:t>E. 6.2.4</w:t>
      </w:r>
    </w:p>
    <w:p>
      <w:r>
        <w:t>Der Vollzug der Wegweisung ist demnach zulässig.</w:t>
      </w:r>
    </w:p>
    <w:p>
      <w:r>
        <w:rPr>
          <w:b/>
        </w:rPr>
        <w:t>E. 6.3.1</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Unter Berücksichtigung der aktuellen Lage in Algerien - und auch der in der angefochtenen Verfügung (vgl. Ziff. III 2. a) erwähnten Spannungen aufgrund zahlreicher Demonstrationen, die seit Februar 2019 insbesondere in Algier stattfinden - herrscht im jetzigen Zeitpunkt in Algerien weder Krieg oder Bürgerkrieg noch liegt eine Situation allgemeiner Gewalt im Sinne von Art. 83 Abs. 4 AIG. Somit sprechen weder die aktuelle politische Lage noch andere allgemeine Gründe gegen die Zumutbarkeit einer Rückführung nach Algerien.</w:t>
      </w:r>
    </w:p>
    <w:p>
      <w:r>
        <w:rPr>
          <w:b/>
        </w:rPr>
        <w:t>E. 6.3.3</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darstellt oder wenn andere Umstände vorliegen, die den Vollzug der Wegweisung als nicht zumutbar erscheinen lassen. Bei der Beurteilung der Zumutbarkeit des Wegweisungsvollzuges haben auch Überlegungen einzufliessen, die sich unter dem Aspekt des nach Art. 3 Abs. 1 KRK zu beachtenden Kindeswohls ergeben können. Der Minderjährigkeit kommt eine zentrale Bedeutung zu, da nach geltender Praxis im Falle von unbegleiteten Minderjährigen das Kindeswohl im Rahmen der Prüfung der Zumutbarkeit des Wegweisungsvollzugs mit zu berücksichtigen ist (vgl. BVGE 2015/30 E. 7.3; BVGE 2009/51 E. 5.6; BVGE 2009/28 E. 9.3.2; Urteil des BVGer D-4884/2011 vom 4. Mai 2012 E. 6.3.3). Daraus ergibt sich grundsätzlich die Verpflichtung, von Amtes wegen die spezifisch mit der Minderjährigkeit verbundenen Aspekte des Wegweisungsvollzuges zu berücksichtigen. Konkret müssen die Asylbehörden folglich vorab feststellen, welche Situation eine unbegleitete minderjährige Person im Fall einer Heimkehr tatsächlich vorfinden könnte. Es ist deshalb nicht nur der Frage nachzugehen, ob eine minderjährige Person bei der Rückkehr in den Heimat- oder Herkunftsstaat im Sinn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zu beantworten, ob die minderjährige Person in der Heimat allenfalls in einer geeigneten Institution oder bei Drittpersonen untergebracht werden kann. Der bloss pauschale Verweis darauf, dass im Heimatstaat die Eltern oder andere Angehörige leben, genügt nicht. Das SEM hat sodann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6.3.4</w:t>
      </w:r>
    </w:p>
    <w:p>
      <w:r>
        <w:t>Die Vorinstanz führte in ihrer angefochtenen Verfügung aus, den Akten sei zu entnehmen, dass der Beschwerdeführer demnächst (...) Jahre alt werde und seinen Angaben zufolge seit seiner Geburt in der Provinz H._______ gelebt und dort die Schule bis zur (...) Klasse besucht habe. Aufgrund der Auseinandersetzungen mit seiner Familie väterlicherseits habe er die Schule vorzeitig verlassen und sei im Dezember 2018 zu seiner Mutter in die Stadt H._______ ins (...) gezogen, wo er bei seinem Onkel B., der als (...)tätig sei, erste Arbeitserfahrungen habe sammeln können. Er verfüge gemäss seinen Angaben über ein weitreichendes familiäres Beziehungsnetz in Algerien. Nebst seiner Mutter und seiner älteren Schwester, mit denen er fast täglich über "Facebook" in Kontakt stehe, lebten seine Grossmutter mütterlicherseits sowie zahlreiche Onkel und Tanten im Heimatland. Seine Mutter halte sich nach wie vor an derselben Adresse in H._______ auf, wo sie gemeinsam mit weiteren Familienmitgliedern im Haus der Grossmutter mütterlicherseits wohne. Zwar habe der Beschwerdeführer angegeben, seine Mutter sei gesundheitlich angeschlagen und nicht arbeitsfähig, doch kämen die Grossmutter und ein Onkel mütterlicherseits für ihren Lebensunterhalt auf. Zudem habe der Beschwerdeführer sein Verhältnis zu seiner Mutter und den Onkeln mütterlicherseits als gut bezeichnet; anders als in ähnlich gelagerten Fällen (vgl. Urteil BVGer E-4634/2019 vom 7. Februar 2020) seien seinen Ausführungen auch keinerlei Hinweise auf häusliche Gewalt oder Ähnliches zu entnehmen, so dass davon auszugehen sei, dass stabile und geregelte Familienverhältnisse vorlägen. Aus seiner Bemerkung, seine Ausreisepläne absichtlich nicht mit der Mutter besprochen zu haben, um sie nicht zu verletzen, sei zu schliessen, dass die Mutter - hätte sie im Vorfeld davon gewusst - mit seiner Ausreise nicht einverstanden gewesen wäre. Zudem habe der Beschwerdeführer seine Heimat erst vor wenigen Monaten verlassen und halte sich erst seit drei Monaten in der Schweiz auf, weshalb seine hiesige Integration noch nicht fortgeschritten sei und ohne Weiteres davon ausgegangen werden könne, dass sich seine wichtigsten Bezugspersonen nach wie vor in der Heimat befänden und er zu diesen zurückkehren könne. Vor diesem Hintergrund erscheine unter dem Blickwinkel des Kindeswohls die Rückkehr zur Mutter nicht nur zumutbar, sondern angesichts des jungen Alters vielmehr auch erstrebenswert. Hinsichtlich seiner finanziellen Lage in Algerien habe der Beschwerdeführer vorgebracht, die wirtschaftliche Lage seiner Familie sei "mittelmässig" gewesen, er sei indes zufrieden gewesen. Demnach sei nicht davon auszugehen, dass er bei einer Rückkehr nach Algerien in eine finanzielle Notlage geraten würde. Mit Blick auf sein umfassendes familiäres Beziehungsnetz und insbesondere auf seinen Onkel B., der einen eigenen Laden im Haus der Grossmutter betreibe, sei zudem davon auszugehen, dass er bei seiner Wiedereingliederung in H._______ nötigenfalls auch auf eine gewisse finanzielle Unterstützung seiner erweiterten Familie zählen könnte. Überdies habe er bereits erste Arbeitserfahrungen sammeln können, was bei einer allfälligen Stellensuche in der Zukunft vorteilhaft wäre. Es seien daher derzeit keine Gründe ersichtlich, die gegen eine Rückkehr des Beschwerdeführers zu seiner Mutter im Heimatland sprechen könnten. Auch sein Gesundheitszustand stehe dem Vollzug der Wegweisung nicht entgegen. So sei festzustellen, dass - wie sich aus den eingereichten Berichten ergebe - die Beschwerden medizinisch versorgt worden und - soweit aktenkundig - keine weiteren Behandlungen erforderlich seien; insbesondere sei dem aktuellen medizinischen Bericht zu entnehmen, dass keine Hinweise mehr für (...) bestünden. In Bezug auf den in der Stellungnahme zum Entscheidentwurf (mit der Begründung, nach einem Vorfall mit der Polizei habe sich sein Gesundheitszustand verschlechtert) geäusserte Wunsch nach einer weiteren ärztlichen Untersuchung, werde darauf hingewiesen, dass die Ausreisefrist bis zum 31. Juli 2020 verlängert werde, und es ihm unbenommen sei, bei akuten medizinischen Beschwerden den für abgewiesene Asylsuchende zuständigen ärztlichen Gesundheitsdienst aufzusuchen; die nicht weiter substanziierten Beschwerden im (...) stünden einem Vollzug der Wegweisung nicht entgegen. Trotz der (zuerst) unwahren Personalienangaben bezüglich der marokkanischen Identität bestehe keine Veranlassung, die umfassenden Ausführungen des Beschwerdeführers zu seiner algerischen Herkunft, Familie, Verwandtschaft und den wirtschaftlichen Verhältnissen in Zweifel zu ziehen, weshalb auf weiterführende Abklärungen verzichtet werden könne, zumal keine weiteren entscheidrelevanten Erkenntnisse zu erwarten wären. Schliesslich sei darauf hinzuweisen, dass die Rückkehr des Beschwerdeführers gemeinsam mit den entsprechenden internationalen Partnern organisiert und durchgeführt werde, wobei die konkreten erforderlichen Unterstützungsmassnahmen im Vollzugszeitpunkt bestimmt würden.</w:t>
      </w:r>
    </w:p>
    <w:p>
      <w:r>
        <w:rPr>
          <w:b/>
        </w:rPr>
        <w:t>E. 6.3.5</w:t>
      </w:r>
    </w:p>
    <w:p>
      <w:r>
        <w:t>Weitere Abklärungen hat das SEM nicht getroffen. Es kann im vorliegenden Fall aber auf solche verzichtet werden, da auch in den Augen des Gerichts klare Anhaltspunkte für das Vorhandensein eines tragfähigen familiären Netzes bestehen und davon ausgegangen werden kann, dass der Beschwerdeführer wieder in das ihm vertraute Umfeld seiner Familie mütterlicherseits zurückkehren kann. Diesbezüglich kann auf die sehr eingehenden, zutreffenden Ausführungen in der angefochtenen Verfügung verwiesen werden. Die in der Beschwerde (vgl. S. 2 f.) angebrachten Einwendungen, der Beschwerdeführer habe die Schule in der (...) Klasse abgebrochen und bei seinem Onkel mütterlicherseits kein Geld verdient, vielmehr habe der Onkel ihm nur Kleider und Schuhe gekauft und ihn bei sich wohnen lassen, ausserdem sei das Beziehungsnetz seiner erweiterten Familie finanziell bereits stark belastet, sind nicht geeignet, zu einer anderen Beurteilung des Sachverhalts zu führen.</w:t>
      </w:r>
    </w:p>
    <w:p>
      <w:r>
        <w:rPr>
          <w:b/>
        </w:rPr>
        <w:t>E. 6.3.6</w:t>
      </w:r>
    </w:p>
    <w:p>
      <w:r>
        <w:t>Im Rahmen einer Gesamtwürdigung sämtlicher Faktoren ist der Vollzug der Wegweisung des mittlerweile (...)-jährigen Beschwerdeführers auch als zumutbar zu qualifizieren. Die mit dem Vollzug der Wegweisung beauftragten Behörden werden im Zeitpunkt der Ausreise die erforderlichen Massnahmen zu treffen haben, damit der Beschwerdeführer unterstützt nach Algerien zurückreisen und dort von seiner Familie in Empfang genommen werden kann.</w:t>
      </w:r>
    </w:p>
    <w:p>
      <w:r>
        <w:rPr>
          <w:b/>
        </w:rPr>
        <w:t>E. 6.4</w:t>
      </w:r>
    </w:p>
    <w:p>
      <w:r>
        <w:t>Schliesslich obliegt es dem Beschwerdeführer, sich bei der zuständigen Vertretung des Heimatstaates die für eine Rückkehr notwendigen Reisedokumente zu beschaffen (vgl. Art. 8 Abs. 4 AsylG und dazu auch BVGE 2008/34 E. 12). Auch die aktuelle Lage im Zusammenhang mit der Coronavirus-Pandemie (COVID-19) ist grundsätzlich nicht geeignet,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und e). Bei der Coronavirus-Pandemie handelt es sich, soweit derzeit feststellbar, allenfalls um ein temporäres Vollzugshindernis. Es obliegt somit den kantonalen Behörden, der Entwicklung der Situation bei der Wahl des Zeitpunkts des Vollzugs in angemessener Weise Rechnung zu tragen. Der Vollzug der Wegweisung ist deshalb auch als möglich zu bezeichnen (Art. 83 Abs. 2 AIG).</w:t>
      </w:r>
    </w:p>
    <w:p>
      <w:r>
        <w:rPr>
          <w:b/>
        </w:rPr>
        <w:t>E. 6.5</w:t>
      </w:r>
    </w:p>
    <w:p>
      <w:r>
        <w:t>Zusammenfassend hat die Vorinstanz den Wegweisungsvollzug zu Recht als zulässig, zumutbar und möglich bezeichnet. Die Anordnung der vorläufigen Aufnahme fällt somit ausser Betracht (Art. 83 Abs. 1-4 AIG); der entsprechende, subeventualiter gestellte Antrag ist daher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Das Gesuch um Verzicht auf Erhebung eines Kostenvorschusses (Art. 63 Abs. 4 VwVG) ist mit vorliegendem Direktentscheid gegenstandslos geworden.</w:t>
      </w:r>
    </w:p>
    <w:p>
      <w:r>
        <w:rPr>
          <w:b/>
        </w:rPr>
        <w:t>E. 8.2</w:t>
      </w:r>
    </w:p>
    <w:p>
      <w:r>
        <w:t>Die gestellten Rechtsbegehren erweisen sich als aussichtslos, weshalb das Gesuch um Gewährung der unentgeltlichen Prozessführung unbesehen einer allfälligen Mittellosigkeit in Anwendung von Art. 65 Abs. 1 VwVG abzuweisen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