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D-2718/2013 vom 3. Juni 2014</w:t>
      </w:r>
    </w:p>
    <w:p>
      <w:r>
        <w:t>Bundesverwaltungsgericht, 2014-06-03, DE</w:t>
      </w:r>
    </w:p>
    <w:p>
      <w:r>
        <w:rPr>
          <w:b/>
        </w:rPr>
        <w:t xml:space="preserve">Quelle: </w:t>
      </w:r>
      <w:r>
        <w:t>https://mcp.opencaselaw.ch/entscheid/bvger_D-2718_2013</w:t>
      </w:r>
    </w:p>
    <w:p>
      <w:r>
        <w:t>FR: TAF D-2718/2013 du 3 juin 2014</w:t>
      </w:r>
    </w:p>
    <w:p>
      <w:r>
        <w:t>IT: TAF D-2718/2013 del 3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der Regel auf dem Gebiet des Asyls - so auch vorliegend - endgültig (Art. 105 des Asylgesetzes vom 26. Juni 1998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eine dieser Bestimmung oder auf die Asylverordnung 1 verwiesen, bezieht sich dies stets auf die bisherige Fassung der entsprechenden Bestimmungen.</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4.2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5</w:t>
      </w:r>
    </w:p>
    <w:p>
      <w:r>
        <w:t>Das BFM hat die Eingabe vom 3. Februar 2011 zu Recht als Asylgesuch aus dem Ausland entgegengenommen. Im Weiteren ist vor dem Hintergrund der massgeblichen Praxis zur Behandlung von Asylgesuchen aus dem Ausland und Einreisebewilligung sowie unter Berücksichtigung der Aktenlage festzustellen, dass in vorliegender Sache auf eine Befragung des Beschwerdeführers durch die schweizerische Vertretung in Khartum verzichtet werden durfte und von der Vorinstanz mit der Einladung zur Stellungnahme vom 6. Juni 2011 beziehungsweise 21. November 2011 den massgeblichen verfahrensrechtlichen Anforderungen Genüge getan wurde (vgl. dazu BVGE 2007/30 E. 5).</w:t>
      </w:r>
    </w:p>
    <w:p>
      <w:r>
        <w:rPr>
          <w:b/>
        </w:rPr>
        <w:t>E. 6.1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6.3</w:t>
      </w:r>
    </w:p>
    <w:p>
      <w:r>
        <w:t>Der Beschwerdeführer macht eine Gefährdung im Sinne von Art. 3 AsylG geltend. Er bringt vor, er habe sein Heimatland Eritrea am {.......} verlassen, weil er in den Militärdienst hätte einrücken müssen. {.......} und seither halte er sich in Israel auf, wo er am {.......} als Flüchtling anerkannt worden sei. Das BFM legte dazu in der angefochtenen Verfügung dar, die Ausführungen des Beschwerdeführers in seinem schriftlichen Gesuch vom 3. Februar 2011 sowie die Erläuterungen in seinem Schreiben vom 20. Dezember 2011 liessen darauf schliessen, dass er ernstzunehmende Schwierigkeiten mit den heimatlichen Behörden gehabt habe. Bei der anschliessenden Prüfung des Asylausschlussgrundes von aArt. 52 Abs. 2 AsylG bejahte die Vorinstanz die Zumutbarkeit eines Verbleibs in Israel.</w:t>
      </w:r>
    </w:p>
    <w:p>
      <w:r>
        <w:rPr>
          <w:b/>
        </w:rPr>
        <w:t>E. 6.4</w:t>
      </w:r>
    </w:p>
    <w:p>
      <w:r>
        <w:t>In einem nächsten Schritt ist zu prüfen, ob der Beschwerdeführer in Israel den Schutz eines Drittstaates geniessen und ihm zuzumuten ist, dort zu verbleiben.</w:t>
      </w:r>
    </w:p>
    <w:p>
      <w:r>
        <w:rPr>
          <w:b/>
        </w:rPr>
        <w:t>E. 6.4.1</w:t>
      </w:r>
    </w:p>
    <w:p>
      <w:r>
        <w:t>Die Voraussetzungen für die Erteilung einer Einreisebewilligung sind grundsätzlich restriktiv umschrieben. Den Asylbehörden kommt da­bei ein weiter Ermessensspielraum zu. Neben der erforderlichen Gefähr­dung im Sinne von Art. 3 AsylG sind mit Blick auf den Ausschlussgrund von aArt.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E. 3.3, mit weiteren Hinweisen).</w:t>
      </w:r>
    </w:p>
    <w:p>
      <w:r>
        <w:rPr>
          <w:b/>
        </w:rPr>
        <w:t>E. 6.4.2</w:t>
      </w:r>
    </w:p>
    <w:p>
      <w:r>
        <w:t>Hält sich die asylsuchende Person wie im vorliegenden Verfahren in einem Drittstaat auf, ist zwar im Sinne der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wesentliches Kriterium (vgl. BVGE 2011/10 E. 5.1, mit weiteren Hinweisen).</w:t>
      </w:r>
    </w:p>
    <w:p>
      <w:r>
        <w:rPr>
          <w:b/>
        </w:rPr>
        <w:t>E. 6.4.3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6.4.4</w:t>
      </w:r>
    </w:p>
    <w:p>
      <w:r>
        <w:t>Das BFM führte in seiner Verfügung zur Situation des Beschwerdeführers in Israel insbesondere aus, gemäss gesicherten Erkenntnissen des Bundesamtes würden eritreische Staatsangehörige im Allgemeinen wie auch der Beschwerdeführer persönlich den Schutzstatus für Gruppen geniessen. Solange eritreische Staatsangehörige des subsidiären Schutzstatus für Gruppen erhielten, werde in Israel kein individuelles Asylverfahren durchgeführt. Erst nach Aufhebung des Schutzstatus für Gruppen bestehe die Möglichkeit, beim Innenministerium ein Asylverfahren zur Feststellung der Flüchtlingseigenschaft durchführen zu lassen. Der effektive Schutz vor einer Rückführung nach Eritrea sei gewährleistet. Das BFM sei sich bewusst, dass sich die Situation für eritreische Staatsangehörige mit Schutzstatus für Gruppen in Israel schwieriger darstelle als für Flüchtlinge in der Schweiz. Doch sei die eritreische Gemeinschaft in Israel gut untereinander vernetzt und zahlreiche NGOs kümmerten sich um die Anliegen von Asylsuchenden und Flüchtlingen. Es sei dem Beschwerdeführer auf jeden Fall möglich, in Israel eine menschenwürdige Existenz zu führen, zumal für Asylsuchende auch Arbeitsbewilligungen ausgestellt würden. Was die Assimilationsmöglichkeiten anbelange, scheine diese für Eritreer in der Schweiz oder in Israel vergleichbar zu sein.</w:t>
      </w:r>
    </w:p>
    <w:p>
      <w:r>
        <w:rPr>
          <w:b/>
        </w:rPr>
        <w:t>E. 6.4.5</w:t>
      </w:r>
    </w:p>
    <w:p>
      <w:r>
        <w:t>Der Beschwerdeführer macht zwar nicht geltend, er fürchte sich vor einer Ausschaffung nach Eritrea. Jedoch gibt er an, sich vor Verfolgung zu fürchten. Seit seiner E._______ halte er sich in Israel auf, wo er lediglich den Flüchtlingsstatus habe und weder einer Arbeit nachgehen noch studieren könne.</w:t>
      </w:r>
    </w:p>
    <w:p>
      <w:r>
        <w:rPr>
          <w:b/>
        </w:rPr>
        <w:t>E. 6.4.6</w:t>
      </w:r>
    </w:p>
    <w:p>
      <w:r>
        <w:t>Was die Situation von Asylsuchenden und Flüchtlingen in Israel anbelangt, lässt sich Folgendes festhalten: Bis 2005 gab es jährlich nur eine sehr geringe Anzahl Asylgesuche. Seither sind die Zahlen aber markant gestiegen. Im Jahr 2011 sollen knapp 17'000 Personen via Ägypten nach Israel gelangt sein, davon 96% eritreische und sudanesische Staatsangehörige. Das Land kennt erst seit 2009 ein nationales Asylverfahren; zuvor war das UNHCR für die Gesuche zuständig. Seit der Gründung Israels im Jahr 1948 haben 200 Personen einen Flüchtlingsstatus erhalten; seit 2005 wurden 30 Personen als Flüchtlinge anerkannt (vgl. SFH-Länderanalyse Eritrea: Situation eritreischer Flüchtlinge in Israel, vom 13. August 2012 S. 1 f.). Neuankömmlinge werden in Immigrationshaft genommen. Die Zahl der Haftplätze wird kontinuierlich erhöht (a.a.O. S. 2). Gemäss UNHCR - verwiesen wird dabei allerdings nicht auf eine UNHCR-Publikation, sondern auf den Bericht von Human Rights Watch (HRW): Israel: Amend 'Anti-Infiltration-Law', vom 10. Juni 2012, welcher diese Auskunft dem UNHCR ohne Quellenangabe zuschreibt - wurden im Jahr 2011 4603 Asylgesuche geprüft und davon 3692 Gesuche abgelehnt; anderen Quellen zufolge wurden von 990 Gesuchen 8 positiv entschieden (a.a.O. S. 3). In den Jahren 2009 und 2010 war ebenfalls eine sehr geringe Gutheissungsquote zu verzeichnen. Ohnehin hat aber der grösste Teil der Asylsuchenden keinen Zugang zur Asylprüfung. Personen aus Eritrea und dem Sudan erhalten zwar Schutz entsprechend dem Non-Refoulement-Gebot. Die damit verbundene Ausstellung einer "Conditional Release" ohne Arbeitserlaubnis ist jeweils für drei Monate gültig; die Verlängerung ist oftmals mit langen Wartezeiten und Schikanen der israeli­schen Behörden verbunden (vgl. a.a.O. S. 3 f.). Am 10. Januar 2012 verabschiedete das israelische Parlament Ergänzun­gen zum Prevention of Infiltration Law. In diesem Gesetz werden nun­mehr alle Ausländer, die illegal einreisen, als "Eindringlinge" bezeichnet. Das Gesetz erlaubt den israelischen Behörden, Asylsuchende und deren Kinder bis zu drei Jahren zu inhaftieren. Die Inhaftierten haben keinen Zugang zu einem Anwalt. Der Inhaftierungsentscheid wird erstmals nach 14 Tagen und in der Folge alle 60 Tage überprüft. Auch ein Asylsuchender kann wegen "Infiltration" strafrechtlich verfolgt und zu einer mehrjährigen Gefängnisstrafe verurteilt werden (a.a.O. S. 6 f.). Gemäss Aussagen der israelischen Regierungsspitze kommen Deportationen von eritreischen Asylsuchenden zwar aktuell nicht in Betracht. Für deren Unterbringung sollen indes die Kapazitäten im Saharonim-Gefängnis von Negev vergrössert werden. Überdies äusserte sich ein anderes Regierungsmitglied in einem Radiointerview zur Situation der Eritreer; dabei legte es dar, es gehe davon aus, dass deren Deportation in Zukunft möglich sein werde. Es bekräftigte seine Hoffnung, dass Eritreer, die ein Conditional-Release-Dokument hätten, bald aus Tel Aviv und anderen Städten entfernt und im Haftzentrum von Negev untergebracht werden könnten. Generell haben Hetzkampagnen von Knesset-Abgeordneten und hochrangigen Beamten gegen Afrikaner erheblich zugenommen. In der Folge kam es zu schwerwiegenden Übergriffen (a.a.O. S. 8 ff.; vgl. auch HRW, a.a.O.). Einer neusten Quelle zufolge hat sich die Situation für eritreische Asylsuchende in Israel offenbar noch verschärft. Wiederholt sollen Asylsuchende inhaftiert und unter Drohungen zur Ausreise genötigt worden sein. Auch Personen, welche schon während Jahren dort lebten, sollen in Haft genommen worden sein (vgl. HRW, Israel: Detained Asylum Seekers Pressured to Leave, vom 13. März 2013, und Israel: New Pressure on Asylum Seekers to Leave, vom 23. Juli 2013).</w:t>
      </w:r>
    </w:p>
    <w:p>
      <w:r>
        <w:rPr>
          <w:b/>
        </w:rPr>
        <w:t>E. 6.4.7</w:t>
      </w:r>
    </w:p>
    <w:p>
      <w:r>
        <w:t>Mit dem BFM - und dem Beschwerdeführer selbst - ist davon auszugehen, dass dieser nicht konkret von einer Ausschaffung nach Eritrea bedroht ist, da er gemäss den eingereichten Beweismitteln im Besitz einer "Conditional Release" ist, deren Gültigkeitsdauer verlängerbar ist. Insoweit muss er zumindest vorläufig nicht mit einer Rückschaffung ins Heimatland rechnen. Die nicht zufriedenstellende Lebenssituation in Bezug auf Arbeits- und Ausbildungsmöglichkeiten vermag für sich allein besehen die Unzumutbarkeit der Schutzinanspruchnahme vor Ort nicht zu begründen. Hingegen besteht gemäss verfügbaren Quellen die reale Gefahr, dass er in Haft genommen, in einem Haftzentrum für längere Zeit festgehalten und zur Ausreise genötigt wird (vgl. HRW vom 13. März 2013 und 23. Juli 2013, wo von der beabsichtigten Inhaftierung von Tausenden von Eritreern die Rede ist). Demzufolge ist es ihm objektiv kaum zumutbar, weiterhin in Israel zu verbleiben (vgl. zum Ganzen auch EMARK 2005 Nr. 19 E. 5.3). Die voraussichtlichen Eingliederungs- und Assimilationsmöglichkeiten in Israel müssen jedenfalls als marginal bezeichnet werden.</w:t>
      </w:r>
    </w:p>
    <w:p>
      <w:r>
        <w:rPr>
          <w:b/>
        </w:rPr>
        <w:t>E. 6.4.8</w:t>
      </w:r>
    </w:p>
    <w:p>
      <w:r>
        <w:t>Weiter ist zu prüfen, ob es aufgrund der gesamten Umstände geboten erscheint, dass es gerade die Schweiz ist, die dem Beschwerdeführer den notwendigen Schutz zukommen lassen soll. Bei dieser Abwägung bildet die besondere Beziehungsnähe der asylsuchenden Person beziehungsweise Personen zur Schweiz ein zentrales, wenn auch - wie vorne in E. 6.4.1-6.4.3 ausgeführt - nicht das einzige Kriterium (vgl. EMARK 2004 Nr. 21 E. 4.b.aa). Aus den Akten geht hervor, dass der Beschwerdeführer keine besondere Beziehungsnähe zur Schweiz hat. Wie vorgängig angeführt, kann jedoch für eine Ablehnung eines Asylgesuchs nicht alleine die fehlende Beziehungsnähe zur Schweiz ausschlaggebend sein. So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In casu liegen sodann durchaus hinreichende Hinweise auf eine relevante Gefährdungslage vor, die eine genügende Grundlage bilden, um seinen Verbleib in Israel als unzumutbar zu qualifizieren. Das BFM hat die Ausschlussklausel nach aArt. 52 Abs. 2 AsylG demnach zu Unrecht angewendet.</w:t>
      </w:r>
    </w:p>
    <w:p>
      <w:r>
        <w:rPr>
          <w:b/>
        </w:rPr>
        <w:t>E. 6.5</w:t>
      </w:r>
    </w:p>
    <w:p>
      <w:r>
        <w:t>Nach dem Gesagten ist dem Beschwerdeführer die Einreise in die Schweiz zur Durchführung des ordentlichen Asylverfahrens zu bewilligen. 7.1 Bei diesem Ausgang des Verfahrens sind keine Kosten zu erheben (Art. 63 Abs. 1 und 2 VwVG). 7.2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ist nicht anwaltlich vertreten und hat auch nicht dargetan - noch ist aus den Akten ersichtlich -, dass und inwiefern ihm verhältnismässig hohe Kosten entstanden sind. Aus diesem Grund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