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D-270/2021 vom 29. Januar 2021</w:t>
      </w:r>
    </w:p>
    <w:p>
      <w:r>
        <w:t>Bundesverwaltungsgericht, 2021-01-29, DE</w:t>
      </w:r>
    </w:p>
    <w:p>
      <w:r>
        <w:rPr>
          <w:b/>
        </w:rPr>
        <w:t xml:space="preserve">Quelle: </w:t>
      </w:r>
      <w:r>
        <w:t>https://mcp.opencaselaw.ch/entscheid/bvger_D-270_2021</w:t>
      </w:r>
    </w:p>
    <w:p>
      <w:r>
        <w:t>FR: TAF D-270/2021 du 29 janvier 2021</w:t>
      </w:r>
    </w:p>
    <w:p>
      <w:r>
        <w:t>IT: TAF D-270/2021 del 29 gennaio 2021</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wie der vorliegenden wird in einzelrichterlicher Zuständigkeit mit Zustimmung eines zweiten Richters entschieden (vgl. Art. 111 Bst. e AsylG). Der Beschwerdeentscheid ist nur summarisch zu begründen (Art. 111a Abs. 2 AsylG) und auf einen Schriftenwechsel wurde in Anwendung von Art. 111a Abs. 1 AsylG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Vorliegend ist den Akten zu entnehmen, dass der Beschwerdeführer am 27. Oktober 2020 in Rumänien als Asylsuchender registriert wurde. Das SEM ersuchte deshalb die rumänischen Behörden am 23. Dezember 2020 um Wiederaufnahme des Beschwerdeführers gestützt auf Art. 18 Abs. 1 Bst. b Dublin-III-VO. Die rumänischen Behörden stimmten dem Gesuch um Übernahme gestützt auf Art. 18 Abs. 1 Bst. c Dublin-III-VO am 6. Januar 2021 zu. Der Einwand des Beschwerdeführers, er habe in Rumänien keine Asylgesuche stellen wollen ist bezüglich der Zuständigkeitsfrage unbehelflich, da bereits die vom Beschwerdeführer nicht bestrittene Einreise in das Hoheitsgebiet der Dublin-Staaten die Zuständigkeit Rumäniens für die Durchführung des Asyl- und Wegweisungsverfahrens begründet (Art. 18 Abs. 1 Bst. a Dublin-III-VO). Mit dem Hinweis auf die in der Schweiz angeblich wohnhafte, nicht zur Kernfamilie gehörende Verwandte ([...] des volljährigen Beschwerdeführers) vermag der Beschwerdeführer keine Ansprüche aus Art. 16 Abs. 1 Dublin-III-VO darzulegen.</w:t>
      </w:r>
    </w:p>
    <w:p>
      <w:r>
        <w:rPr>
          <w:b/>
        </w:rPr>
        <w:t>E. 4.2</w:t>
      </w:r>
    </w:p>
    <w:p>
      <w:r>
        <w:t>Die grundsätzliche Zuständigkeit Rumäniens für die Durchführung des Asyl- und Wegweisungsverfahrens des Beschwerdeführers ist somit gegeben. Der Wunsch des Beschwerdeführers um Verbleib in der Schweiz vermag daran nichts zu ändern, zumal die Dublin-III-VO den Schutzsuchenden kein Recht einräumt, den ihren Antrag prüfenden Staat selber auszuwählen (vgl. auch BVGE 2010/40 E. 8.3).</w:t>
      </w:r>
    </w:p>
    <w:p>
      <w:r>
        <w:rPr>
          <w:b/>
        </w:rPr>
        <w:t>E. 5.1</w:t>
      </w:r>
    </w:p>
    <w:p>
      <w:r>
        <w:t>Im Lichte von Art. 3 Abs. 2 Dublin-III-VO ist sodann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5.2</w:t>
      </w:r>
    </w:p>
    <w:p>
      <w:r>
        <w:t>Rumänien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(vgl. Urteil des BVGer F-2060/2019 vom 10. Mai 2019 m.w.H.; bestätigt in den Urteilen des BVGer D-6557/2020 vom 7. Januar 2021 E. 9.3; F-6222/2020 vom 16. Dezember 2020 E. 7.3; F-5474/2020 vom 13. November 2020 E. 4.1; F-4980/2020 vom 14. Oktober 2020 E. 5.2).</w:t>
      </w:r>
    </w:p>
    <w:p>
      <w:r>
        <w:rPr>
          <w:b/>
        </w:rPr>
        <w:t>E. 5.3</w:t>
      </w:r>
    </w:p>
    <w:p>
      <w:r>
        <w:t>Es liegen somit keine wesentlichen Gründe für die Annahme vor, das Asylverfahren und die Aufnahmebedingungen für Antragsteller in Rumänien würden systemische Schwachstellen aufweisen, die eine Gefahr einer unmenschlichen oder entwürdigenden Behandlung im Sinne des Artikels 4 der EU-Grundrechtecharte mit sich bringen. Unter diesen Umständen ist die Anwendung von Art. 3 Abs. 2 Dublin-III-VO nicht gerechtfertigt.</w:t>
      </w:r>
    </w:p>
    <w:p>
      <w:r>
        <w:rPr>
          <w:b/>
        </w:rPr>
        <w:t>E. 6.1</w:t>
      </w:r>
    </w:p>
    <w:p>
      <w:r>
        <w:t>Der Beschwerdeführer fordert im Weiteren sinngemäss die Anwendung der Ermessensklauseln von Art. 17 Abs. 1 Dublin-III-VO und von Art. 29a Abs. 3 der Asylverordnung 1 vom 11. August 1999 (AsylV 1, SR 142.311), gemäss welcher das SEM das Asylgesuch aus humanitären Gründen auch dann behandeln kann, wenn dafür gemäss Dublin-III-VO ein anderer Staat zuständig wäre.</w:t>
      </w:r>
    </w:p>
    <w:p>
      <w:r>
        <w:rPr>
          <w:b/>
        </w:rPr>
        <w:t>E. 6.2</w:t>
      </w:r>
    </w:p>
    <w:p>
      <w:r>
        <w:t>Unter dem Blickwinkel von Art. 17 Abs. 1 Dublin-III-VO ist zu prüfen, ob im konkreten Fall bei einer Überstellung eine Verletzung der EMRK oder anderer internationaler Verträge drohenden würde, welche die Schweiz zur Anwendung der Souveränitätsklausel und zur Prüfung des Asylgesuchs des Beschwerdeführers verpflichten würde (vgl. BVGE 2010/40 E. 5 und 7.2). Zwar gilt im Rahmen des Dublin-Systems die Vermutung, dass alle Mitgliedstaaten des Dublin-Raums ihren völkerrechtlichen Verpflichtungen nachkommen. Diese Vermutung kann jedoch durch ernsthafte Hinweise darauf, dass die Behörden des zuständigen Staats im konkreten Fall das internationale Recht nicht respektieren, umgestossen werden (vgl. BVGE 2010/40 E. 7.4 f.).</w:t>
      </w:r>
    </w:p>
    <w:p>
      <w:r>
        <w:rPr>
          <w:b/>
        </w:rPr>
        <w:t>E. 6.3</w:t>
      </w:r>
    </w:p>
    <w:p>
      <w:r>
        <w:t>Vorliegend vermag der Beschwerdeführer kein konkretes und ernsthaftes Risiko darzutun, die rumänischen Behörden, die seiner Wiederaufnahme am 6. Januar 2021 ausdrücklich zugestimmt haben, würden sich weigern, ihn wieder aufzunehmen und seinen Antrag auf internationalen Schutz unter Einhaltung der Regeln der Verfahrensrichtlinie zu prüfen. Den Akten sind denn auch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würden, zur Ausreise in ein solches Land gezwungen zu werden. Ausserdem vermag der Beschwerdeführer mit seiner pauschalen Behauptung, Rumänien kümmere sich nicht gebührend um Asylsuchende, nicht darzulegen, Rumänien würde ihm dauerhaft die Rechte, die ihm aus den Verfahrens- und Aufnahmerichtlinien zustehen, vorenthalten. Aufgrund der Aktenlage besteht mithin kein Grund zur Annahme, der Beschwerdeführer würde in Rumänien wegen fehlenden Zugangs zum Asylverfahren oder ungenügenden Aufenthaltsbedingungen in eine existenzielle Not geraten.</w:t>
      </w:r>
    </w:p>
    <w:p>
      <w:r>
        <w:rPr>
          <w:b/>
        </w:rPr>
        <w:t>E. 6.4</w:t>
      </w:r>
    </w:p>
    <w:p>
      <w:r>
        <w:t>Was die geltend gemachten psychischen Schwierigkeiten des Beschwerdeführers betrifft, ist mit dem SEM davon auszugehen, dass Rumänien in der Lage sein wird, eine allenfalls notwendige medizinische Versorgung zu gewährleisten. Es liegen keine Hinweise vor, wonach Rumänien dem Beschwerdeführer eine medizinische Behandlung verweigert hätte oder künftig verweigern würde, zumal der Beschwerdeführer auch keine entsprechenden medizinischen Unterlagen einreichte. Auch bezüglich der nicht näher konkretisierten Vorbringen, er sei in Rumänien schlecht behandelt worden, ist auf die Aufnahmerichtlinie zu verweisen, welche zahlreiche Mindestnormen für die Aufnahme und Betreuung von Asylsuchenden beinhaltet. Der Beschwerdeführer ist an die zuständigen rumänischen Behörden zu verweisen, um die nötige Unterstützung einzufordern.</w:t>
      </w:r>
    </w:p>
    <w:p>
      <w:r>
        <w:rPr>
          <w:b/>
        </w:rPr>
        <w:t>E. 6.5</w:t>
      </w:r>
    </w:p>
    <w:p>
      <w:r>
        <w:t>Die Einwände des Beschwerdeführers vermögen auch unter dem Blickwinkel humanitärer Gründe keine Zuständigkeit der Schweiz zu begründen.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6.6</w:t>
      </w:r>
    </w:p>
    <w:p>
      <w:r>
        <w:t>Nach dem Gesagten besteht kein Grund für eine Anwendung der Ermessenklauseln von Art. 17 Dublin-III-VO. Der Vollständigkeit halber ist nochmals festzuhalten, dass die Dublin-III-VO den Schutzsuchenden kein Recht einräumt, den ihren Antrag prüfenden Staat selber auszuwählen (vgl. auch BVGE 2010/45 E. 8.3). 7.Das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 8.Nach dem Gesagten ist die Beschwerde abzuweisen und die Verfügung des SEM zu bestätigen. 9.Das Beschwerdeverfahren ist mit vorliegendem Urteil abgeschlossen, weshalb sich der Antrag auf Gewährung der aufschiebenden Wirkung als gegenstandslos erweist.</w:t>
      </w:r>
    </w:p>
    <w:p>
      <w:r>
        <w:rPr>
          <w:b/>
        </w:rPr>
        <w:t>E. 10</w:t>
      </w:r>
    </w:p>
    <w:p>
      <w:r>
        <w:t>Der Beschwerdeführer beantragt die Gewährung der unentgeltlichen Rechtspflege gemäss Art. 65 Abs. 1 VwVG. Aufgrund der vorstehenden Erwägungen ergibt sich, dass seine Begehren als von vornherein aussichtslos zu gelten haben. Damit ist eine der kumulativ zu erfüllenden Voraussetzungen nicht gegeben, weshalb dem Gesuch nicht stattzugeben ist. Aus demselben Grund kann auch dem Gesuch um unentgeltliche Rechtsverbeiständung nicht stattgegeben werden. Bei diesem Ausgang des Verfahrens sind die Kosten von Fr. 750.- (Art. 1-3 des Reglements vom 21. Februar 2008 über die Kosten und Entschädigungen vor dem Bundesverwaltungsgericht [VGKE], SR 173.320.2) somit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