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D-2709/2015 vom 26. Mai 2015</w:t>
      </w:r>
    </w:p>
    <w:p>
      <w:r>
        <w:t>Bundesverwaltungsgericht, 2015-05-26, DE</w:t>
      </w:r>
    </w:p>
    <w:p>
      <w:r>
        <w:rPr>
          <w:b/>
        </w:rPr>
        <w:t xml:space="preserve">Quelle: </w:t>
      </w:r>
      <w:r>
        <w:t>https://mcp.opencaselaw.ch/entscheid/bvger_D-2709_2015</w:t>
      </w:r>
    </w:p>
    <w:p>
      <w:r>
        <w:t>FR: TAF D-2709/2015 du 26 mai 2015</w:t>
      </w:r>
    </w:p>
    <w:p>
      <w:r>
        <w:t>IT: TAF D-2709/2015 del 26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[AsylG, SR 142.31];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Der Zeitpunkt der Eröffnung der angefochtenen Verfügungen steht mangels Rückschein bei den Akten nicht fest. Aus den Akten ist ersichtlich, dass die vorinstanzlichen Verfügungen vom 25. Februar 2015 von der Schweizerischen Vertretung in Colombo am 12. März 2015 versandt wurden. Im Weiteren steht fest, dass die Be-schwerdeeingaben am 22. April 2015 bei der Schweizerischen Vertre-tung eintrafen. Mangels Rückschein steht somit nicht mit Bestimmtheit fest, ob die eingereichten Be­schwer­den rechtzeitig erfolgt sind. Da die Beweislast für die Zustellung an die Partei der eröffnenden Behörde obliegt (vgl. Moser/Beusch/Kneubühler, Prozessieren vor dem Bundesver­wal­tungsgericht, Basel, 2. Aufl. 2013, Rz. 3.150, S. 210), ist nach dem Gesagten zugunsten der Beschwerdeführerinnen davon auszugehen, dass die am 22. April 2015 bei der Schweizerischen Vertretung eingetroffenen Beschwerden rechtzeitig erfolgt sind.</w:t>
      </w:r>
    </w:p>
    <w:p>
      <w:r>
        <w:rPr>
          <w:b/>
        </w:rPr>
        <w:t>E. 1.4</w:t>
      </w:r>
    </w:p>
    <w:p>
      <w:r>
        <w:t>Die Beschwerdeführerinnen haben am Verfahren vor der Vorinstanz teilge­nommen, sind durch die angefochtenen Verfügungen besonders berührt, haben ein schutzwürdiges Interesse an deren Aufhebung beziehungs­weise Ände­rung und sind daher zur Einreichung der Beschwerden legiti­miert. Auf die frist- und formgerecht eingereichten Beschwerden ist einzutreten (Art. 108 AsylG sowie Art. 105 AsylG i.V.m. 37 VGG undArt. 48 Abs. 1 und Art. 52 VwVG).</w:t>
      </w:r>
    </w:p>
    <w:p>
      <w:r>
        <w:rPr>
          <w:b/>
        </w:rPr>
        <w:t>E. 1.5</w:t>
      </w:r>
    </w:p>
    <w:p>
      <w:r>
        <w:t>Aufgrund des engen persönlichen und sachlichen Zusammenhangs werden die Verfahren D-2688/2015 und D-2709/2015 vereinigt.</w:t>
      </w:r>
    </w:p>
    <w:p>
      <w:r>
        <w:rPr>
          <w:b/>
        </w:rPr>
        <w:t>E. 2</w:t>
      </w:r>
    </w:p>
    <w:p>
      <w:r>
        <w:t>Mit Beschwerde kann im Asylbereich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SEM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Beurteilungsspielraum zukommt (vgl. dazu das zur Publikation vorgesehene Urteil D-103/2014 vom 21. Januar 2015).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SEM in den angefochtenen Verfügungen zu bestätigen, wonach sich aus den wesentlichen Vorbringen der Beschwerdeführerinnen keine asylrelevante Gefährdungssituation ergebe.</w:t>
      </w:r>
    </w:p>
    <w:p>
      <w:r>
        <w:rPr>
          <w:b/>
        </w:rPr>
        <w:t>E. 5.4</w:t>
      </w:r>
    </w:p>
    <w:p>
      <w:r>
        <w:t>Mit der Vorinstanz ist festzuhalten, dass die geltend gemachte Zwangsrekrutierung der Beschwerdeführerin A.________ durch die LTTE als vergangene Verfolgungshandlung nicht asylrelevant ist. Im Weiteren bestehen auch keine konkreten Anhaltspunkte dafür, dass die Beschwerdeführerinnen aus dem blossen Umstand eines früheren Aufenthaltes in einem IDP-Camp begründete Furcht vor künftigen behördlichen Behelligungen haben. Zwar ist nicht auszuschliessen, dass die Beschwerdeführerinnen auch nach ihrer Rückkehr nach E.__________ unter behördlicher Beobachtung gestanden haben. Indessen erscheinen aufgrund des fehlenden politischen Profils die geltend gemachten regelmässigen Befragungen durch die sri-lankische Armee wenig glaubhaft. Aber auch wenn diese Befragungen tatsächlich stattgefunden haben sollten, kommt diesen behördlichen Behelligungen die erforderliche Intensität nicht zu. Die Einschätzung eines fehlenden Verfolgungsinteresses des sri-lankischen Staates wird durch die Tatsache bestätigt, dass die sri-lankischen Behörden im September 2010 der Beschwerdeführerin A._________ einen neuen Reisepass ausgestellt haben, mit dem sie im Oktober 2010 nach Indien ausreiste und später ohne Schwierigkeiten wieder nach Sri Lanka zurückkehrte. Es gibt somit keine konkreten Anhaltspunkte für eine begründete Furcht der Beschwerdeführerinnen vor künftiger staatlicher Verfolgung. In diesem Zusammenhang ist im Weiteren auf die veränderte allgemeine Situation in Sri Lanka hinzuweisen. Nach Beendigung des Krieges und der endgültigen Niederlage der LTTE ist die Gefahr für die Beschwerdeführerinnen, erneut der Zugehörigkeit zu den LTTE verdächtigt zu werden, tendenziell geringer geworden. Indessen haben die sri-lankischen Be­hörden - namentlich im Grossraum Colom­bo -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w:t>
      </w:r>
    </w:p>
    <w:p>
      <w:r>
        <w:rPr>
          <w:b/>
        </w:rPr>
        <w:t>E. 5.5</w:t>
      </w:r>
    </w:p>
    <w:p>
      <w:r>
        <w:t>Im Weiteren ist hinsichtlich der Vorbringen, 2010 in F._________ von paramilitärischen Gruppierungen behelligt worden zu sein, festzuhalten, dass diese Vorkommnisse mittlerweile fünf Jahre zurückliegen und sich aus den Aussagen der Beschwerdeführerinnen keine Anhaltspunkte darauf ergeben, dass diese nach ihrem Wegzug nach E._________ erneuten Belästigungen ausgesetzt gewesen wären. Vor diesem Hintergrund erscheint das Risiko vor sexuellen Übergriffen als objektiv nicht begründet. Auch ist von der Schutzfähigkeit des sri-lankischen Staates auszugehen, weshalb grundsätzlich die Möglichkeit besteht, allenfalls bei den zuständigen Behörden um Schutz vor Verfolgung seitens Dritter zu ersuchen. An dieser Einschätzung vermögen weder die im Rahmen des vorinstanzlichen Verfahrens eingereichten Beweismittel, welche lediglich der Stützung der nicht in Zweifel gezogenen Vorbringen der Beschwerdeführerinnen dienen, noch die Argumente in den Beschwerden, welche sich in einer Wiederholung der bereits im Rahmen des vorinstanzlichen Verfahrens geltend gemachten Vorbringen, blossen Behauptungen und allgemeinen Ausführungen erschöpfen, nichts zu ändern. 6.Somit ist es den Beschwerdeführerinnen nicht gelungen, eine aktuelle Gefährdung im Sinne von Art. 3 AsylG aufzuzeigen, welche die Bewilligung der Ein­reise in die Schweiz rechtfertigen würde. Die Schutzbedürftigkeit des Beschwerdeführerinnen im Sinne von alt Art. 20 i.V.m. Art. 3 AsylG ist nicht gegeben. Im Übrigen ist auch eine Beziehungsnähe der Beschwerdeführerinnen zur Schweiz zu verneinen (alt Art. 52 Abs. 2 AsylG). Das BFM hat den Beschwerdeführerinnen zu Recht die Einreise in die Schweiz verweigert und die Asylgesuche abgelehnt. 7.Aus diesen Erwägungen ergibt sich, dass die angefochtene Verfügung das Bundesrecht nicht verletzt und den rechtserheblichen Sachverhalt richtig sowie vollständig feststellt (Art. 106 Abs. 1 AsylG). Die Beschwerden sind daher abzuweisen. 8.Bei diesem Ausgang der vereinigten Verfahren wären deren Kosten grundsätzlich den Beschwerdeführerinnen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