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D-2700/2016 vom 24. November 2016</w:t>
      </w:r>
    </w:p>
    <w:p>
      <w:r>
        <w:t>Bundesverwaltungsgericht, 2016-11-24, DE</w:t>
      </w:r>
    </w:p>
    <w:p>
      <w:r>
        <w:rPr>
          <w:b/>
        </w:rPr>
        <w:t xml:space="preserve">Quelle: </w:t>
      </w:r>
      <w:r>
        <w:t>https://mcp.opencaselaw.ch/entscheid/bvger_D-2700_2016</w:t>
      </w:r>
    </w:p>
    <w:p>
      <w:r>
        <w:t>FR: TAF D-2700/2016 du 24 novembre 2016</w:t>
      </w:r>
    </w:p>
    <w:p>
      <w:r>
        <w:t>IT: TAF D-2700/2016 del 24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4.1</w:t>
      </w:r>
    </w:p>
    <w:p>
      <w:r>
        <w:t>In der angefochtenen Verfügung stufte das SEM die Vorbringen des Beschwerdeführers als unglaubhaft ein. Dabei äusserte es Zweifel an der Echtheit der Gerichtsdokumente (Kopie einer Suchanzeige, datiert vom 13. September 2011, und der Kopie eines angeblich gegen den Beschwerdeführer erlassenen Haftbefehls, datiert vom 19. September 2011, beides ausgestellt durch das Gericht erster Instanz D._______). Zudem seien die Schilderungen über die Inhaftierung und die anschliessende Haft zu vage und oberflächlich ausgefallen. Auch würden die Angaben über die Umstände der Freilassung Plausibilitätserwägungen nicht standhalten. Zudem habe der Beschwerdeführer während der Befragung zur Person widersprüchliche Angaben über den Zeitpunkt seiner Ausreise gemacht und die Angaben zum Verbleib seiner Identitätsdokumente seien ebenfalls widersprüchlich ausgefallen. Das SEM stützte seine Zweifel an der Beschaffenheit der Dokumente auf verschiedene Ungereimtheiten. Die Ausführung des Stempels des stellvertretenden Staatsanwalts sei rudimentär, die handschriftlichen Angaben auf der Suchanzeige und auf dem Haftbefehl würden von der gleichen Person stammen. Dies gelte zudem auch für die Unterschriften des Untersuchungsrichters und des stellvertretenden Staatsanwaltes. Darüber hinaus würde eine Internetrecherche ergeben, dass mutmasslich keine der beiden namentlich genannten Personen zum fraglichen Zeitpunkt am genannten Gericht im Einsatz gewesen sei. So sei ein Untersuchungsrichter mit dem gleichen Namen bereits im Jahr 2009 von D._______ an das Gericht erster Instanz von E._______ versetzt worden; danach sei dieser Untersuchungsrichter erneut im Jahr 2014 im Zuge seiner Versetzung vom Gericht in E._______ an das Gericht erster Instanz von F._______ in Erscheinung getreten. Eine weitere Person, die einen ähnlichen Namen wie der angeblich unterzeichnete Staatsanwalt trage und der Justiz angehörte, sei zum Zeitpunkt der Ausstellung der vorgelegten Gerichtsdokumente bereits verstorben gewesen. Schliesslich sei verwunderlich, dass das Gericht den Beschwerdeführer zwar der Verübung eines Attentats auf den Präsidenten verdächtige, jedoch weder Suchanzeige noch Haftbefehl auf eine diesem Delikt entsprechende spezialgesetzliche Rechtsgrundlage gestützt worden seien. Stattdessen werde in den Dokumenten der allgemein gehaltenen Artikel 3 des Strafgesetzbuchs zitiert. Auch sei verwunderlich, dass sich das Gericht bei der Ausstellung des Haftbefehls zweimal in Bezug auf das Datum geirrt habe: Einmal in Bezug auf den Vorfall und ein weiteres Mal in Bezug auf die Stellung des Haftantrags, der ein Datum vor der angeblichen Tathandlung aufweise. Schliesslich sei erstaunlich, dass der Beschwerdeführer überhaupt in den Besitz der Dokumente habe gelangen können und dass sie über vier Jahre nach dem erwähnten Vorfall vorgelegt worden seien. Zudem habe der Beschwerdeführer während der summarischen Befragung und Anhörung den Eindruck vermittelt, er habe die geschilderten Vorkommnisse nicht selbst erlebt. So seien die Angaben zur Festnahme und zum Gefängnisaufenthalt unsubstanziiert und oberflächlich geblieben. Er sei nicht in der Lage gewesen, die dort verbrachte Zeit oder den Ort spontan zu beschreiben. Auch habe er widersprüchliche Angaben zum Verlust seiner Identitätspapiere gemacht. In dieser Hinsicht wäre zudem zu erwarten gewesen, dass er sich über deren Verbleib im Herkunftsland erkundige. Auch die Schilderungen zu seiner Haftentlassung seien unglaubhaft. Schliesslich habe er auch nicht erklären können, wieso er aufgrund der Stellung seines Bruders und dessen Zugangs zu einem einflussreichen Personenkreis relativ rasch seine eigene Freilassung habe bewirken können, sich jedoch nicht bemüht haben wolle, auf diesem Weg zumindest herauszufinden, was mit seinem Bruder geschehen sei. Auch sei verwunderlich, dass er in der ersten Befragung sein Ausreisedatum zweimal mit 18. Juli 2011 angegeben habe, jedoch aufgrund eines Vorfalls vom 19. Juli 2011 einige Tage inhaftiert gewesen und erst danach ausgereist sein wolle. Hätte er dies alles tatsächlich erlebt, hätte es ihm wesentlich leichter fallen müssen, die Vorgänge zeitlich richtig einzuordnen. Ergänzungshalber erwähnte die Vorinstanz in der angefochtenen Verfügung, dass mittlerweile über 170 Personen, einschliesslich hochrangiger Persönlichkeiten, die zu langjährigen Haftstrafen verurteilt worden seien, amnestiert worden seien.</w:t>
      </w:r>
    </w:p>
    <w:p>
      <w:r>
        <w:rPr>
          <w:b/>
        </w:rPr>
        <w:t>E. 4.2</w:t>
      </w:r>
    </w:p>
    <w:p>
      <w:r>
        <w:t>In seiner Beschwerde machte der Beschwerdeführer geltend, sein Asylgesuch sei zu Unrecht abgelehnt worden. Er sei im Gefängnis gefoltert worden, weshalb er erkrankt sei.</w:t>
      </w:r>
    </w:p>
    <w:p>
      <w:r>
        <w:rPr>
          <w:b/>
        </w:rPr>
        <w:t>E. 4.2.1</w:t>
      </w:r>
    </w:p>
    <w:p>
      <w:r>
        <w:t>Mit Bezug auf die angezweifelte Echtheit der Dokumente machte er geltend, dass der Inhalt der vorgelegten Schriftstücke nicht mit Schweizer Massstäben zu vergleichen sei. Auch sei der Hinweis, welche Strafnorm von Richtern ins Recht gezogen werden müsse, unstatthaft. Es könne in amtlichen Dokumenten vorkommen, dass Daten verwechselt oder falsch geschrieben würden. Im Übrigen verwies der Beschwerdeführer auf seine Stellungnahme vom 3. Februar 2016. Darin führte er aus, dass weder Suchauftrag noch Haftbefehl öffentlich zugängliche Dokumente seien, weshalb der Beschwerdeführer nur dank seiner Bekanntschaften in den Besitz der Kopien gelangen habe können. Es handle sich dabei um Formulare, die üblicherweise von Sekretariatsmitarbeitenden handschriftlich ausgefüllt und zur Unterschrift vorgelegt würden, weshalb auch beide Dokumente dieselbe Handschrift aufweisen würden. Es sei falsch, dass die Dokumente von derselben Person unterzeichnet worden seien, da erkennbar sei, dass sich die Unterschrift des stellvertretenden Staatsanwaltes von jener des Untersuchungsrichters unterscheiden würde. Schliesslich könne sich das SEM in Bezug auf die Frage, ob die unterzeichnenden Personen zum Ausstellungszeitpunkt am genannten Gericht tätig gewesen seien, nicht auf Informationen aus dem Internet verlassen. Vielmehr hätte die Vorinstanz die Namensgleichheit verschiedener Mitarbeiter der Justiz in Betracht zu ziehen gehabt, weil es in Guinea häufig vorkäme, dass die Menschen ähnliche Namen trügen. In diesem Sinn sei auch anzumerken, dass zwar der stellvertretende Staatsanwalt den Vor- und Nachnamen mit der Person, die das SEM im Internet gefunden habe, teile, jedoch im Internet noch zusätzlich ein Mittelname angeführt worden sei, der auf den vorgelegten Gerichtsdokumenten nicht erscheine. Es könne sich daher nicht um die gleiche Person handeln.</w:t>
      </w:r>
    </w:p>
    <w:p>
      <w:r>
        <w:rPr>
          <w:b/>
        </w:rPr>
        <w:t>E. 4.2.2</w:t>
      </w:r>
    </w:p>
    <w:p>
      <w:r>
        <w:t>Zum Vorwurf, seine Schilderungen über die Haftentlassung seien unglaubhaft, zumal er sich nicht um den Verbleib seines Bruders kümmern habe können, wurde in der Beschwerdeschrift ausgeführt, dass in einer lebensbedrohlichen Situation nicht immer logisch gehandelt werden könne. Die etwas rudimentären Antworten des Beschwerdeführers seien zudem Folgen der Torturen, die er habe erleiden müssen. (...). Die Amnestierung einer grossen Anzahl von Personen hätte zudem nichts mit dem Beschwerdeführer zu tun. Er habe bei einer Rückkehr mit seiner Verhaftung zu rechnen.</w:t>
      </w:r>
    </w:p>
    <w:p>
      <w:r>
        <w:rPr>
          <w:b/>
        </w:rPr>
        <w:t>E. 4.2.3</w:t>
      </w:r>
    </w:p>
    <w:p>
      <w:r>
        <w:t>In der Beschwerdeschrift stellte der Beschwerdeführer die Nachreichung eines Facharztberichts über seine [Krankheit] in Aussicht. Das SEM und der behandelnde Arzt würden voneinander abweichende Angaben zu den Behandlungsmöglichkeiten im Herkunftsstaat machen. In dieser Hinsicht sei aber der Argumentation des Arztes zu folgen, der empfehle, die Behandlung in der Schweiz zu Ende zu führen. Der Beschwerdeführer habe zudem keinen Kontakt zur Familie, weshalb nicht mit der notwendigen (finanziellen) Unterstützung zu rechnen sei. Bei einer Rückkehr würde er in eine medizinische Notlage geraten.</w:t>
      </w:r>
    </w:p>
    <w:p>
      <w:r>
        <w:rPr>
          <w:b/>
        </w:rPr>
        <w:t>E. 4.3</w:t>
      </w:r>
    </w:p>
    <w:p>
      <w:r>
        <w:t>In der Vernehmlassung hielt das SEM an seiner Verfügung fest. Insbesondere wurde an den Zweifeln bezüglich der Echtheit der Gerichtsdokumente festgehalten und die psychischen Leiden des Beschwerdeführers für ungeeignet, das Aussageverhalten des Beschwerdeführers zu erklären, betrachtet. Die psychische Erkrankung würde kein Wegweisungsvollzugshindernis darstellen, auch sei bei seiner Rückkehr mit einer Wiederherstellung des Kontaktes zur Familie zu rechnen.</w:t>
      </w:r>
    </w:p>
    <w:p>
      <w:r>
        <w:rPr>
          <w:b/>
        </w:rPr>
        <w:t>E. 5</w:t>
      </w:r>
    </w:p>
    <w:p>
      <w:r>
        <w:t>Das Gericht kommt ebenfalls zum Schluss, dass die Vorbringen des Beschwerdeführers nicht glaubhaft sind. Nachfolgend ist im Einzelnen auf sie einzugehen.</w:t>
      </w:r>
    </w:p>
    <w:p>
      <w:r>
        <w:rPr>
          <w:b/>
        </w:rPr>
        <w:t>E. 5.1</w:t>
      </w:r>
    </w:p>
    <w:p>
      <w:r>
        <w:t>Die Vorbringen sind in den wesentlichen Punkten der Festnahme und Inhaftierung pauschal und allgemein gehalten geblieben. Wie der Beschwerdeführer in seiner Beschwerdeschrift auch selbst anführte, hatte er Schwierigkeiten, seine Vorbringen zu substanziieren. Dies führte er auf seine Traumatisierung zurück. Zu Recht bemängelt aber die Vorinstanz, dass kaum Realkennzeichen in Bezug auf die Schilderungen der Geschehnisse nach dem Vorfall vorhanden sind. Es ist kaum nachvollziehbar, warum er über das einschneidende Erlebnis der Hausdurchsuchung und der Schläge im Zuge der Festnahme zumindest in Grundzügen berichten konnte, aber dann über eine daran anschliessende - nach eigenen Angaben zweitägige oder allenfalls mehrtägige - Haft kaum etwas sagen konnte. Der Beschwerdeführer war zwar zu abstrakten Ausführungen über organisatorische Fragen seiner Freilassung in der Lage, trotz Nachfragen, konnte er aber kaum etwas über den Ort, die Beschaffenheit der Zelle, den Mithäftling oder die allgemeinen Haftbedingungen erzählen. Auf Nachfrage, warum er über den Ort, an dem er festgehalten worden sein soll, nichts wisse, gab er an, kein Soldat zu sein. Dies lässt zu Recht Zweifel daran aufkommen, ob er sich im von ihm angegebenen Gefängnis aufgehalten haben kann. Auch ist mit der Vorinstanz festzuhalten, dass dieser Eindruck durch die widersprüchlichen Angaben während der ersten summarischen Befragung noch verstärkt wird. Hier wiederum konnte er Angaben zum Vorfall selbst, der zu seiner Verhaftung geführt haben soll, machen, jedoch hatte er Probleme, die zeitliche Abfolge der darauf folgenden Geschehnisse, inklusive seiner Ausreise, darzustellen. Auch die Schilderung seiner Freilassung, bei der ihm sodann einflussreiche Kontakte seines Bruders nützlich gewesen sein sollen, ist nicht plausibel.</w:t>
      </w:r>
    </w:p>
    <w:p>
      <w:r>
        <w:rPr>
          <w:b/>
        </w:rPr>
        <w:t>E. 5.2</w:t>
      </w:r>
    </w:p>
    <w:p>
      <w:r>
        <w:t>Sodann wären Gerichtsdokumente allenfalls geeignet, ein grundsätzlich schlüssiges Vorbringen zu untermauern. Dies ist dem Beschwerdeführer vorliegend aber nicht gelungen und auch die Zweifel des SEM an der Echtheit der Dokumente bestehen zu Recht. Es ist richtig, dass der Stempel des stellvertretenden Staatsanwaltes auf der Suchanzeige rudimentär aussieht und es irritieren mag, dass auf dem Stempel der falsche Artikel eingesetzt wurde ("la" substitut du procureur statt "le" substitut du procureur). Zudem ist auf dem Haftbefehl ein Irrtum in Bezug auf den Zeitpunkt der Tathandlung unterlaufen, das fälschlicherweise mit 19./06/2011 statt mit 19./07/2011 angegeben wurde. Dies gilt auch für den entsprechenden Haftantrag der Staatsanwaltschaft, der mit dem 28/06/2011 zu früh - nämlich noch vor der eigentlichen Tat - gestellt worden wäre. Auch die Wahl der spezialgesetzlichen Rechtsgrundlage sollte auf solchen Dokumenten relevant sein. Dem entgegnete der Beschwerdeführer, dass nicht von Schweizer Massstäben beziehungsweise von einer fehlerfreien Arbeitsweise ausgegangen werden könne. Dies mutet etwas zu einfach an. Obwohl den weiteren Erklärungen des Beschwerdeführers teilweise gefolgt werden kann, sind die grundlegenden Zweifel an der Echtheit der Dokumente damit nicht entkräftet. Zusammen mit den weiter oben angeführten Ungereimtheiten und insbesondere den pauschalen und detailarmen Ausführungen des Beschwerdeführers reicht dies nicht aus, den Anforderungen an die Glaubhaftmachung zu genügen.</w:t>
      </w:r>
    </w:p>
    <w:p>
      <w:r>
        <w:rPr>
          <w:b/>
        </w:rPr>
        <w:t>E. 5.3</w:t>
      </w:r>
    </w:p>
    <w:p>
      <w:r>
        <w:t>Das SEM hat das Asylgesuch des Beschwerdeführers demnach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Guinea lässt den Wegweisungsvollzug zum heutigen Zeitpunkt nicht als unzulässig erscheinen.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Wie das SEM zu Recht ausführt, ist es zwar im Oktober 2015 neuerlich zu Wahlkonflikten gekommen und es sind auch künftig vereinzelte Zusammenstösse nicht gänzlich auszuschliessen. Es herrscht in Guinea aber keine Situation von Krieg, Bürgerkrieg oder allgemeiner Gewalt. Auch sind die Ausführungen des SEM in Bezug auf die fehlende medizinische Notlage zu bestätigen. Hinsichtlich seines Gesundheitszustandes legte der Beschwerdeführer verschiedene Arztberichte vor, die ihm eine Posttraumatische Belastungsstörung attestieren, sowie ein dem Bericht des Facharztes für Allgemeinmedizin beigelegtes E-Mail (...), datierend vom 27. September 2015, wonach der Beschwerdeführer an [einer Krankheit] erkrankt ist. Die vom Beschwerdeführer in Aussicht gestellten Facharztberichte über die [Krankheit] wurden trotz wiederholter Aufforderung des SEM und des Bundesverwaltungsgerichts nicht eingereicht. Gemäss dem aktenkundigen E-Mailaustausch zwischen dem behandelnden Arzt für Allgemeinmedizin und der [Beratungsstelle des Kantonsspitals] vom 3. November 2015 wird die Erkrankung des Beschwerdeführers medikamentös behandelt. In dieser Hinsicht brachte der Beschwerdeführer auch vor, dass er sich eine Behandlung nicht leisten könne und er keinen Kontakt zu seiner Familie habe und keine Unterstützung erwarten könne. Der Hinweis des SEM, dass auch in Guinea Behandlungsmöglichkeiten für psychische Leiden im Universitätsspital von Conakry bestünden, ist nicht zu beanstanden. Der Beschwerdeführer legte einen Arztbericht vor, demzufolge die Prognose ohne weitere Behandlung der Posttraumatischen Belastungsstörung schlecht ausfallen würde. In dieser Hinsicht ist mit der Vorinstanz festzuhalten, dass es in Conakry praktizierendes psychiatrisches Facharztpersonal gibt, auch wenn die Behandlung von PTBS in Guinea nicht den europäischen Qualitätsstandards entspricht. Weiter ist das Vorbringen, dass sich die Symptomatik bei einer drohenden Verhaftung in Guinea verschlechtern würde, nicht relevant, weil - wie weiter oben ausgeführt - nicht davon auszugehen ist, dass dem Beschwerdeführer bei Rückkehr tatsächlich ein solcher Nachteil droht. Aus diesen Gründen ist es dem Beschwerdeführer zuzumuten, sich in seinem Heimatstaat behandeln zu lassen. Auch hinsichtlich der medikamentösen Behandlungsmöglichkeiten in Bezug auf die [Krankheit] ist auf die zutreffenden Angaben in der angefochtenen Verfügung zu verweisen, die zu bestätigen sind. So sind die notwendigen Medikamente in Conakry erhältlich und es können auch [Fachärztinnen und -ärzte] aufgesucht werden. Es ist auch davon auszugehen, dass der Beschwerdeführer - trotz des abgebrochenen Kontaktes zu seiner Frau und seiner Familie - bei einer Rückkehr seine familiären Beziehungen wieder aufnehmen kann. Somit kann er auf ein ausreichendes soziales Netz zählen. Nach dem Gesagten erweist sich der Vollzug der Wegweisung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im Rahmen der Zwischenverfügung vom 12. Mai 2016 dem Gesuch um Erlass der Verfahrenskosten (im Sinne von Art. 65 Abs. 1 VwVG) entsprochen wurde und sich die finanzielle Situation des Beschwerdeführers in der Zwischenzeit soweit ersichtlich nicht massgeblich verändert hat, ist indes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