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D-269/2025 vom 3. Januar 2025</w:t>
      </w:r>
    </w:p>
    <w:p>
      <w:r>
        <w:t>Bundesverwaltungsgericht, 2025-01-03, DE</w:t>
      </w:r>
    </w:p>
    <w:p>
      <w:r>
        <w:rPr>
          <w:b/>
        </w:rPr>
        <w:t xml:space="preserve">Quelle: </w:t>
      </w:r>
      <w:r>
        <w:t>https://mcp.opencaselaw.ch/entscheid/bvger_D-269_2025_d20250103</w:t>
      </w:r>
    </w:p>
    <w:p>
      <w:r>
        <w:t>FR: TAF D-269/2025 du 3 janvier 2025</w:t>
      </w:r>
    </w:p>
    <w:p>
      <w:r>
        <w:t>IT: TAF D-269/2025 del 3 gennaio 2025</w:t>
      </w:r>
    </w:p>
    <w:p>
      <w:pPr>
        <w:pStyle w:val="Heading2"/>
      </w:pPr>
      <w:r>
        <w:t>Regeste</w:t>
      </w:r>
    </w:p>
    <w:p>
      <w:r>
        <w:t>Asyl und Wegweisung (beschleunigtes Verfahren) | Asyl und Wegweisung (beschleunigtes Verfahren); Verfügung des SEM vom 3. Januar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w:t>
      </w:r>
    </w:p>
    <w:p>
      <w:r>
        <w:t>D-269/2025 Seite 4 Beschwerde ist – unter nachfolgendem Vorbehalt – einzutreten (Art. 108 Abs. 1 AsylG und Art. 52 Abs. 1 VwVG).</w:t>
      </w:r>
    </w:p>
    <w:p>
      <w:r>
        <w:rPr>
          <w:b/>
        </w:rPr>
        <w:t>E. 1.2</w:t>
      </w:r>
    </w:p>
    <w:p>
      <w:r>
        <w:t>Soweit der Beschwerdeführer die Wiederherstellung der aufschieben- den Wirkung der Beschwerde beantragt, kann festgehalten werden, dass dieser von Gesetzes wegen aufschiebende Wirkung zukommt (vgl. Art. 6 AsylG i.V.m. Art. 55 Abs. 1 VwVG) und das SEM diese vorliegend nicht entzogen hat, weshalb darauf mangels Rechtsschutzinteresses nicht ein- 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D-269/2025 Seite 5</w:t>
      </w:r>
    </w:p>
    <w:p>
      <w:r>
        <w:rPr>
          <w:b/>
        </w:rPr>
        <w:t>E. 5.1</w:t>
      </w:r>
    </w:p>
    <w:p>
      <w:r>
        <w:t>Das SEM hat das Asylgesuch des Beschwerdeführers wegen mangeln- der Glaubhaftigkeit abgewiesen.</w:t>
      </w:r>
    </w:p>
    <w:p>
      <w:r>
        <w:rPr>
          <w:b/>
        </w:rPr>
        <w:t>E. 5.2</w:t>
      </w:r>
    </w:p>
    <w:p>
      <w:r>
        <w:t>Da das Bundesverwaltungsgericht an die rechtliche Begründung der vorinstanzlichen Verfügung nicht gebunden ist (vgl. Art. 62 Abs. 4 VwVG), kann es eine angefochtene Verfügung im Ergebnis gleich belassen, dieser aber eine andere Begründung zu Grunde legen. Diese Möglichkeit der Mo- tivsubstitution ist im Grundsatz der Rechtsanwendung von Amtes wegen begründet (vgl. MOSER/BEUSCH/KNEUBÜHLER/KAYSER, Prozessieren vor dem Bundesverwaltungsgericht, 3. Aufl. 2022, S. 263, Rz. 3.197). Im vor- liegenden Fall nimmt das Bundesverwaltungsgericht eine Motivsubstitution im erwähnten Sinne vor und würdigt nachstehend die Verfolgungsvorbrin- gen des Beschwerdeführers unter dem Gesichtspunkt der Asylrelevanz.</w:t>
      </w:r>
    </w:p>
    <w:p>
      <w:r>
        <w:rPr>
          <w:b/>
        </w:rPr>
        <w:t>E. 5.3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Ungeachtet der Frage der Glaubhaftigkeit der Vorbringen des Beschwer- deführers ist festzustellen, dass das Bundesverwaltungsgericht in ständi- ger Praxis von der grundsätzlichen Schutzfähigkeit und Schutzwilligkeit der tunesischen Strafverfolgungs- und Justizbehörden ausgeht (vgl. statt vieler Urteil des BVGer D-2738/2024 vom 20. August 2024 S. 4). Mit dem pau- schalen Einwand, dass die Familie seiner damaligen Freundin über gute Beziehungen bis in die staatlichen Strukturen hinein verfüge (vgl. SEM- Akten [...]-91/17 [nachfolgend A91] F87 ff., F102; Beschwerde S. 2 f.), ver- mag der Beschwerdeführer die Schutzfähigkeit und -willigkeit der heimatli- chen Behörden nicht generell in Frage zu stellen. Den Akten lassen sich keine konkreten Hinweise für die Annahme entnehmen, die heimatlichen Behörden würden dem Beschwerdeführer bei Bedarf den erforderlichen Schutz verweigern, zumal auch keine Hinweise vorliegen, dass ihm die Hilfe aus einem der in Art. 3 Abs. 1 AsylG genannten Gründe verweigert würde. Der geltend gemachten Gefahr von Nachstellungen seitens privater Drittpersonen ist daher keine asylrechtliche Relevanz zuzuerkennen.</w:t>
      </w:r>
    </w:p>
    <w:p>
      <w:r>
        <w:t>D-269/2025 Seite 6</w:t>
      </w:r>
    </w:p>
    <w:p>
      <w:r>
        <w:rPr>
          <w:b/>
        </w:rPr>
        <w:t>E. 5.4</w:t>
      </w:r>
    </w:p>
    <w:p>
      <w:r>
        <w:t>Bei einer allfälligen Haftstrafe infolge Begehung eines gemeinrechtli- chen Delikts handelt es sich sodann nicht um eine staatliche Verfolgung, sondern um eine rechtsstaatlich legitime Massnahme.</w:t>
      </w:r>
    </w:p>
    <w:p>
      <w:r>
        <w:rPr>
          <w:b/>
        </w:rPr>
        <w:t>E. 5.5</w:t>
      </w:r>
    </w:p>
    <w:p>
      <w:r>
        <w:t>Das SEM hat demzufolge die Flüchtlingseigenschaft des Beschwerde- führers im Ergebnis zu Recht verneint und sein Asylgesuch folgerichtig ab- gelehnt.</w:t>
      </w:r>
    </w:p>
    <w:p>
      <w:r>
        <w:rPr>
          <w:b/>
        </w:rPr>
        <w:t>E. 6</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 rechtliche Verpflichtungen der Schweiz einer Weiterreise der Ausländerin oder des Ausländers in den Heimat-, Herkunfts- oder einen Drittstaat ent- gegenstehen.</w:t>
      </w:r>
    </w:p>
    <w:p>
      <w:r>
        <w:rPr>
          <w:b/>
        </w:rPr>
        <w:t>E. 7.2.1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7.2.2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7.2.3</w:t>
      </w:r>
    </w:p>
    <w:p>
      <w:r>
        <w:t>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In Tunesien herrscht zurzeit weder Krieg oder Bürgerkrieg noch eine Situ- ation allgemeiner Gewalt. Der Wegweisungsvollzug dorthin ist praxisge- mäss als generell zumutbar zu erachten (vgl. statt vieler Urteil des BVGer D-6964/2024 vom 9. Dezember 2024 E. 10.3). Auch sprechen keine indivi- duellen Gründe gegen einen Wegweisungsvollzug. Wie bereits das SEM zutreffend festgestellt hat, handelt es sich beim Beschwerdeführer um ei- nen jungen Mann ohne aktenkundige gesundheitliche Beeinträchtigungen, dem es aufgrund seiner Arbeitserfahrung zuzumuten ist, bei einer Rück- kehr ins Heimatland ein wirtschaftliches Auskommen zu erzielen (vgl. SEM-Akten A91 F51 ff.). Zudem verfügt er in Tunesien mit seinem [Ver- wandten] zumindest über ein Familienmitglied, welches ihn bei Bedarf un- terstützen könnte (vgl. SEM-Akten A91 F33, 46). Insgesamt ist daher nicht davon auszugehen, dass der Beschwerdeführer bei einer Rückkehr nach Tunesien aus wirtschaftlichen, sozialen oder gesundheitlichen Gründen in eine existenzielle Notlage geraten würde. In der Beschwerde wird denn auch nichts dergleichen vorgebracht. Der Vollzug der Wegweisung ist dem- nach als zumutbar zu erachten.</w:t>
      </w:r>
    </w:p>
    <w:p>
      <w:r>
        <w:t>D-269/2025 Seite 8</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das SEM den Wegweisungsvollzug zu Recht als zulässig, zumutbar und möglich bezeichnet. Die Anordnung der vorläu- figen Aufnahme fällt somit ausser Betracht (Art. 83 Abs. 1–4 AIG). 8. Aus diesen Erwägungen ergibt sich, dass die angefochtene Verfügung Bundesrecht nicht verletzt und auch sonst nicht zu beanstanden ist (Art. 106 Abs. 1 AsylG und Art. 49 VwVG). Die Beschwerde ist abzuweisen. 9. 9.1 Der Beschwerdeführer beantragt die Gewährung der unentgeltlichen Prozessführung und amtlichen Rechtsverbeiständung (Art. 65 Abs. 1 VwVG und Art. 102m Abs. 1 Bst. a und Abs. 4 AsylG). Aufgrund der vorste- henden Erwägungen ergibt sich, dass seine Begehren als aussichtslos zu gelten haben. Damit ist eine der kumulativ zu erfüllenden Voraussetzungen nicht gegeben, weshalb die Gesuche ungeachtet der geltend gemachten Mittellosigkeit abzuweisen sind. 9.2 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D-269/2025 Seite 9</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Der Beschwerdeführer beantragt die Gewährung der unentgeltlichen Prozessführung und amtlichen Rechtsverbeiständung (Art. 65 Abs. 1 VwVG und Art. 102m Abs. 1 Bst. a und Abs. 4 AsylG). Aufgrund der vorstehenden Erwägungen ergibt sich, dass seine Begehren als aussichtslos zu gelten haben. Damit ist eine der kumulativ zu erfüllenden Voraussetzungen nicht gegeben, weshalb die Gesuche ungeachtet der geltend gemachten Mittellosigkeit abzuweisen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w:t>
      </w:r>
    </w:p>
    <w:p>
      <w:r>
        <w:t>D-269/2025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