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D-268/2023 vom 27. Januar 2023</w:t>
      </w:r>
    </w:p>
    <w:p>
      <w:r>
        <w:t>Bundesverwaltungsgericht, 2023-01-27, DE</w:t>
      </w:r>
    </w:p>
    <w:p>
      <w:r>
        <w:rPr>
          <w:b/>
        </w:rPr>
        <w:t xml:space="preserve">Quelle: </w:t>
      </w:r>
      <w:r>
        <w:t>https://mcp.opencaselaw.ch/entscheid/bvger_D-268_2023</w:t>
      </w:r>
    </w:p>
    <w:p>
      <w:r>
        <w:t>FR: TAF D-268/2023 du 27 janvier 2023</w:t>
      </w:r>
    </w:p>
    <w:p>
      <w:r>
        <w:t>IT: TAF D-268/2023 del 27 gennaio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zur Beschwerdeführung legitimiert (Art. 48 VwVG). Auf die frist- und formgerecht eingereichte Beschwerde (Art. 108 Abs. 3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In der Beschwerdeschrift wird geltend gemacht, die Vorinstanz habe die Untersuchungs- und Begründungspflicht verletzt, indem sie sie Situation der Beschwerdeführenden - insbesondere das Verhältnis der Eheleute zueinander und den psychischen Zustand der Beschwerdeführerin - nicht hinreichend gewürdigt habe und die angefochtene Verfügung auf nicht nachvollziehbare allgemeine Ausführungen stütze.</w:t>
      </w:r>
    </w:p>
    <w:p>
      <w:r>
        <w:rPr>
          <w:b/>
        </w:rPr>
        <w:t>E. 4.2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 Gemäss Art. 29 VwVG haben die Parteien Anspruch auf rechtliches Gehör (vgl. BGE 144 I 11 E. 5.3; BVGE 2009/ 35 E. 6.4.1 mit Hinweisen).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dagegen, dass sich die Begründung mit allen Parteistandpunkten einlässlich auseinandersetzt und jedes einzelne Vorbringen ausdrücklich widerlegt (vgl. BGE 143 III 65 E. 5.2).</w:t>
      </w:r>
    </w:p>
    <w:p>
      <w:r>
        <w:rPr>
          <w:b/>
        </w:rPr>
        <w:t>E. 4.3</w:t>
      </w:r>
    </w:p>
    <w:p>
      <w:r>
        <w:t>Die Einwände in der Beschwerdeschrift sind unbegründet, zumal die Beschwerdeführenden mit ihrer Kritik an der Einschätzung der Vorinstanz die Frage der Feststellung des rechtserheblichen Sachverhalts mit der Frage der rechtlichen Würdigung der Sache vermengen. In den Akten finden sich keine Hinweise darauf, dass die Vorinstanz ihre zentralen Vorbringen - insbesondere die Anwesenheit ihrer Verwandten in der Schweiz - nicht sorgfältig und differenziert geprüft und in der Entscheidfindung berücksichtigt hätte. Ihren Gesundheitszustand betreffend gaben beide Beschwerdeführenden an, dass sie sich (grundsätzlich) bei guter Gesundheit befänden (vgl. A22/2 und A23/2). Den einzigen sich bei den Akten befindenden medizinischen Unterlagen ist denn lediglich zu entnehmen, dass dem Beschwerdeführer am 11. Dezember 2022 unter Lokalanästhesie ein Zahn entfernt wurde und bei der Beschwerdeführerin am 19. Dezember 2022 eine Vaginitis diagnostiziert wurde (vgl. A37/2 und A42/3). Hinweise auf die in der Beschwerdeschrift behaupteten psychischen Beschwerden und eine damit einhergehende Vulnerabilität der Beschwerdeführerin - deren Behandlung der Ehemann angeblich verhindere - finden sich in den Akten nicht. Vor diesem Hintergrund musste sich die Vorinstanz nicht veranlasst sehen, weitere Abklärungen zum Gesundheitszustand oder - wie in der Beschwerdeschrift angedeutet - den persönlichen Verhältnissen der Eheleute zueinander zu treffen. Zudem wurden auf Beschwerdeebene keine weiteren medizinischen Unterlagen eingereicht, was ebenfalls auf einen ausreichend erstellten Sachverhalt hinweist. Wie das SEM in der angefochtenen Verfügung sodann zutreffend ausgeführt hat, verfügt Kroatien über eine ausreichende medizinische Infrastruktur, und es bestehen keine konkreten Hinweise dafür, dass den Beschwerdeführenden eine notwendige Behandlung verwehrt würde, zumal sie nicht geltend machen, sich je um eine solche bemüht zu haben (vgl. dazu auch nachfolgend E. 8.4), weshalb das SEM auch diesbezüglich von zusätzlichen Abklärungsmassnahmen absehen konnte. Ebenfalls nicht zu beanstanden sind die Ausführungen zum Selbsteintritt. Allein aus dem Umstand, dass das SEM bei der Würdigung des Sachverhalts zu einem anderen Schluss gelangt, als von den Beschwerdeführenden erhofft, lässt sich keine unrichtige oder unvollständige Feststellung des Sachverhalts oder eine Verletzung der Begründungspflicht ableiten. Nach dem Gesagten erweisen sich die formellen Rügen als unbegründet und die Sache ist nicht an die Vorinstanz zurückzuweisen.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w:t>
      </w:r>
    </w:p>
    <w:p>
      <w:r>
        <w:rPr>
          <w:b/>
        </w:rPr>
        <w:t>E. 5.3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5.4</w:t>
      </w:r>
    </w:p>
    <w:p>
      <w:r>
        <w:t>Ein Abgleich der Fingerabdrücke der Beschwerdeführenden mit der «Eurodac»-Datenbank ergab, dass der Beschwerdeführer A._______ am 10. September 2022 in Kroatien daktyloskopisch erfasst wurde. Die Beschwerdeführerin B._______ wurde hingegen nicht registriert (vgl. A12/1 und A13/1). Beide gaben während des Dublin-Gesprächs jedoch übereinstimmend zu Protokoll, dass auch B._______ in Kroatien illegal in das Hoheitsgebiet der Dublin-Staaten eingereist und dort daktyloskopiert worden sei (vgl. A22/2 und 23/2). Nachdem die kroatischen Behörden innerhalb der in Art. 22 Abs. 1 Dublin-III-VO festgelegten Frist dem Aufnahmegesuch der Vorinstanz ausdrücklich zustimmten, ist die grundsätzliche Zuständigkeit Kroatiens gegeben.</w:t>
      </w:r>
    </w:p>
    <w:p>
      <w:r>
        <w:rPr>
          <w:b/>
        </w:rPr>
        <w:t>E. 6.1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w:t>
      </w:r>
    </w:p>
    <w:p>
      <w:r>
        <w:t>Die Beschwerdeführenden bringen in der Beschwerdeschrift im Wesentlichen vor, zahlreiche Quellen äusserten sich kritisch zur Lage in Kroatien. Die Aufnahmebedingungen seien äusserst prekär. Insbesondere an den Grenzen würden Schutzsuchende misshandelt und in illegaler Weise abgewiesen. Eine psychologische Betreuung werde nur in Notfällen gewährleistet und der Zugang zu einer medizinischen Grundversorgung sei zweifelhaft. Auch sei es höchst unwahrscheinlich, dass in Kroatien ein neutrales und faires Asylverfahren stattfinde. Fehlbares Behördenverhalten könne nur in der Theorie angezeigt werden, denn es mangle meist an den dazu benötigten finanziellen Mitteln. Um feststellen zu können, ob eine Verletzung von Art. 3 EMRK drohe, seien die Umstände, welche die betreffenden Schutzsuchenden in Kroatien erlebt hätten, genau zu würdigen und abzuklären. In dieser Hinsicht hätten denn auch die Beschwerdeführenden klar Gewalt erlebt, da sie gegen ihren Willen daktyloskopiert worden und ohne Verpflegung an der Grenze zu Bosnien in einem Wald ausgesetzt worden seien.</w:t>
      </w:r>
    </w:p>
    <w:p>
      <w:r>
        <w:rPr>
          <w:b/>
        </w:rPr>
        <w:t>E. 8.1</w:t>
      </w:r>
    </w:p>
    <w:p>
      <w:r>
        <w:t>Das Bundesverwaltungsgericht erinnert im Zusammenhang mit den Beschwerdevorbringen daran, dass sich die Mitgliedstaaten grundsätzlich auf die Vermutung verlassen können, dass die am gemeinsamen Europäischen Asylsystem beteiligten Staaten die Menschenrechte beachten, und sie dürfen insoweit Vertrauen ineinander haben (vgl. dazu BVGE 2010/45 E. 7.4 f.; ausserdem Urteil des Gerichtshofs der Europäischen Union [EuGH] vom 21. Dezember 2011 in den verbundenen Rechtssachen C-411/10 [N. S./Secretary of State for the Home Department] und C-493/10 [M. E. u.a. /Refugee Applications Commissioner, Minister for Justice, Equality and Law Reform], Rn. 78 ff.; vgl. ferner Erwägung 3 der DubIin-III-VO). So ist denn auch unter Würdigung der kritischen Berichterstattung aktuell nicht davon auszugehen, das Asylverfahren und die Aufnahmebedingungen in Kroatien wiesen systemische Schwachstellen im Sinne von Art. 3 Abs. 2 Sätze 2 und 3 Dublin-III-VO auf, die eine Überstellung von Gesuchstellenden generell als unzulässig erscheinen lassen würden (vgl. Referenzurteil D-1611/2016 vom 22. März 2016 E. 4.3). Dass im vorliegenden Fall diese generelle Annahme nicht zuträfe, vermögen die Beschwerdeführenden nicht substantiiert darzulegen. Selbst unter Berücksichtigung der auf Beschwerdeebene eingereichten Berichte - welche offensichtlich keinerlei Bezug zu den Beschwerdeführenden aufweisen - ist nicht davon auszugehen, Kroatien verstosse zum heutigen Zeitpunkt systematisch gegen seine vertraglichen Verpflichtungen als zuständiger Dublin-Mitgliedstaat. Die diesbezüglich gegenüber Kroatien erhobenen Vorwürfe beziehen sich primär auf das Verhalten des Landes bei einem illegalen Grenzübertritt an seinen Aussengrenzen zu Bosnien und Herzegowina und zu Serbien (vgl. Urteil des BVGer D-419/2022 vom 13. April 2022 E. 4.3). Die Überstellung der Beschwerdeführenden würde hingegen auf legalem Wege in die Hauptstadt Zagreb erfolgen, welche sich im nordwestlichen Teil des Landes und somit keinesfalls in der Nähe der vorgenannten Grenzen im Süden und Osten befindet. Soweit die Beschwerdeführenden in diesem Zusammenhang auf das Urteil des BVGer E-3078/2019 vom 12. Juli 2019 verweisen, verkennen sie, dass in jenem Fall detaillierte Angaben zu in Kroatien erlittenen Misshandlungen und Rückweisungen an eben diesen Aussengrenzen gemacht wurden, die Vorinstanz die diesbezüglichen Vorbringen und Beweismittel aber gar nicht erst berücksichtigte, weshalb das Gericht die Sache an die Vorinstanz zurückwies. Auch dem mit Blick auf die sog. Push Backs in der Rechtsmitteleingabe zitierten Urteil F-661/2020 vom 7. Februar 2020 liegt eine andere Konstellation als im vorliegenden Fall zu Grunde, zumal die Beschwerdeführenden zu keinem Zeitpunkt substantiiert geltend machten, an der kroatischen Grenze abgewiesen respektive zurückgeschickt worden zu sein. Vielmehr ist ihren Aussagen zu entnehmen, dass sie jene mehrmals selbständig und problemlos überquerten (vgl. A22/2 und A23/2). Die Behauptung in der Beschwerdeschrift, sie seien «bereits einmal abgeschoben» worden (vgl. Beschwerde, S. 10) ist denn auch in keiner Weise belegt. Der im erstinstanzlichen Verfahren eingereichten Fotografie eines kroatischen Schreibens (vgl. A35/1), mit dem zumindest der Beschwerdeführer aufgefordert worden sei, das Land zu verlassen, kommt kein Beweiswert zu. Keine der im vorgenannten Formular angegebenen Personendaten stimmt mit denen des Beschwerdeführers überein. Während es sich bei der Schreibweise des auf dem Formular genannten Namens «D._______» allenfalls noch um einen Schreibfehler handeln könnte, stimmen das angegebene Geburtsdatum, der Geburtsort und das Herkunftsland nicht einmal ansatzweise mit den gegenüber den Schweizer Behörden gemachten Angaben überein (vgl. A3/2 und A35/1). Die Vorinstanz hat in der angefochtenen Verfügung denn auch eine Einzelfallprüfung vorgenommen und ist unter Verweis auf Abklärungen durch die Schweizer Botschaft in Kroatien zu Recht zum Schluss gelangt, dass Personen, welche im Rahmen eines Dublin-Verfahrens nach Kroatien überstellt werden, nicht von der problematischen Push-Back-Praxis betroffen sind.</w:t>
      </w:r>
    </w:p>
    <w:p>
      <w:r>
        <w:rPr>
          <w:b/>
        </w:rPr>
        <w:t>E. 8.2</w:t>
      </w:r>
    </w:p>
    <w:p>
      <w:r>
        <w:t>Soweit die Beschwerdeführenden vorbringen, ihnen würde ein korrektes Asylverfahren in Kroatien verwehrt, ist festzustellen, dass sie von den kroatischen Behörden daktyloskopisch erfasst und damit offenbar dazu angehalten wurden, sich in das kroatische Asylsystem zu begeben. Zudem haben die kroatischen Behörden ihrer Übernahme ausdrücklich zugestimmt (vgl. A35/1 und A36/1), womit sie ihre Bereitschaft erklärt haben, das Asylverfahren der Beschwerdeführenden zu behandeln respektive fortzuführen. Es ist darauf hinzuweisen, dass das Dublin-System auf klaren Zuständigkeitsregeln beruht und den Gesuchstellenden kein Recht einräumt, den ihren Antrag prüfenden Staat selbst auszuwählen (vgl. BVGE 2010/45 E. 8.3).</w:t>
      </w:r>
    </w:p>
    <w:p>
      <w:r>
        <w:rPr>
          <w:b/>
        </w:rPr>
        <w:t>E. 8.3</w:t>
      </w:r>
    </w:p>
    <w:p>
      <w:r>
        <w:t>Weiter bestehen keine Hinweise darauf, Kroatien würde im Falle der Beschwerdeführenden den Grundsatz des Non-Refoulement (Art. 33 des Abkommens vom 28. Juli 1951 über die Rechtsstellung der Flüchtlinge [FK, SR 0.142.30]) missachten und sie zur Ausreise in ein Land zwingen, in welchem ihnen eine asylrelevante Verfolgung nach Art. 3 Abs. 1 AsylG drohen würde.</w:t>
      </w:r>
    </w:p>
    <w:p>
      <w:r>
        <w:rPr>
          <w:b/>
        </w:rPr>
        <w:t>E. 8.4</w:t>
      </w:r>
    </w:p>
    <w:p>
      <w:r>
        <w:t>Schliesslich werden in der Beschwerdeschrift systemische Mängel in der Gesundheitsversorgung von Asylsuchenden in Kroatien moniert. Bei den jungen und gesundheitlich nicht akut beeinträchtigten Beschwerdeführenden (vgl. E. 4.3 hiervor) handelt es sich mithin nicht um schutzbedürftige Personen im Sinne der Rechtsprechung des Bundesverwaltungsgerichts. Abgesehen davon verfügt Kroatien über eine ausreichende medizinische Infrastruktur, weshalb sich die Beschwerdeführenden im Bedarfsfall an das dafür zuständige medizinische Fachpersonal zu wenden haben (vgl. zum Ganzen Urteil des BVGer F-4456/2020 vom 15. Septem-ber 2020 E. 6.7 m.w.H.).</w:t>
      </w:r>
    </w:p>
    <w:p>
      <w:r>
        <w:rPr>
          <w:b/>
        </w:rPr>
        <w:t>E. 8.5</w:t>
      </w:r>
    </w:p>
    <w:p>
      <w:r>
        <w:t>Die Anwendung von Art. 3 Abs. 2 Dublin-III-VO ist demnach nicht gerechtfertigt.</w:t>
      </w:r>
    </w:p>
    <w:p>
      <w:r>
        <w:rPr>
          <w:b/>
        </w:rPr>
        <w:t>E. 9.1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9.2</w:t>
      </w:r>
    </w:p>
    <w:p>
      <w:r>
        <w:t>Auch unter diesem Aspekt vermögen die Beschwerdeführenden aus den in der Rechtsmitteleingabe zitierten Quellen nichts zu ihren Gunsten abzuleiten. So kann denn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Wie bereits dargelegt sind die Beschwerdeführenden grundsätzlich gesund (vgl. E. 4.3 hiervor) und sie wären im Falle einer Überstellung nach Kroatien nicht mit dem Risiko einer ernsten, raschen und unwiederbringlichen Verschlechterung ihres Gesundheitszustandes konfrontiert. Zudem verfügt Kroatien über eine ausreichende medizinische Infrastruktur und ist verpflichtet, den Antragstellern die erforderliche medizinische Versorgung, die zumindest die Notversorgung und die unbedingt erforderliche Behandlung von Krankheiten und schweren psychischen Störungen umfasst, zugänglich zu machen; den Antragstellern mit besonderen Bedürfnissen ist die erforderliche medizinische oder sonstige Hilfe (einschliesslich nötigenfalls einer geeigneten psychologischen Betreuung) zu gewähren (vgl. Urteil des BVGer E-3281/2021 vom 22. Juli 2021 E. 7.5.2 m.H.a. Art. 19 Abs. 1 und 2 Aufnahmerichtlinie). Sodann bestehen in Kroatien nebst den staatlichen Einrichtungen auch Angebote von Nichtregierungsorganisationen für die psychische Betreuung, womit von einem genügenden psychologischen Behandlungsangebot auszugehen ist (vgl. Urteil des BVGer E-3281/2021 vom 22. Juli 2021 E. 7.5.2). Es liegen keine Hinweise vor, dass Kroatien seinen Verpflichtungen im Rahmen der Dublin-III-VO in medizinischer Hinsicht nicht nachkommen würde.</w:t>
      </w:r>
    </w:p>
    <w:p>
      <w:r>
        <w:rPr>
          <w:b/>
        </w:rPr>
        <w:t>E. 9.3</w:t>
      </w:r>
    </w:p>
    <w:p>
      <w:r>
        <w:t>Ebenso wenig vermögen die Beschwerdeführenden aus der Anwesenheit ihrer Verwandten (den Geschwistern des Beschwerdeführers, vgl. A16/11 F3.01) in der Schweiz etwas zu ihren Gunsten abzuleiten. Wie die Vorinstanz in der angefochtenen Verfügung zutreffend feststellt, handelt es sich bei diesen offensichtlich nicht um Familienangehörige im Sinne von Art. 2 Bst. g Dublin-III-VO. Die Anwendbarkeit von Art. 16 Abs. 1 Dublin-III-VO verlangt sodann ein aus bestimmten Gründen (u.a. Krankheit, Behinderung, hohes Alter) bestehendes Abhängigkeitsverhältnis zwischen dem Antragsteller und der sich rechtmässig in einem Mitgliedsstaat aufhaltenden angehörigen Person. Mangels entsprechend konkreter Vorbringen der Beschwerdeführenden sowie allfälliger anderweitiger Indizien ist nicht von einem derartigen Abhängigkeitsverhältnis auszugehen.</w:t>
      </w:r>
    </w:p>
    <w:p>
      <w:r>
        <w:rPr>
          <w:b/>
        </w:rPr>
        <w:t>E. 9.4</w:t>
      </w:r>
    </w:p>
    <w:p>
      <w:r>
        <w:t>Insgesamt liegen somit keine zwingenden Gründe für eine Anwendung der Ermessensklauseln von Art. 17 Dublin-III-VO vor.</w:t>
      </w:r>
    </w:p>
    <w:p>
      <w:r>
        <w:rPr>
          <w:b/>
        </w:rPr>
        <w:t>E. 10</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11</w:t>
      </w:r>
    </w:p>
    <w:p>
      <w:r>
        <w:t>Die Vorinstanz ist demnach zu Recht in Anwendung von Art. 31a Abs. 1 Bst. b AsylG auf das Asylgesuch der Beschwerdeführenden nicht eingetreten. Da sie nicht im Besitz einer gültigen Aufenthalts- oder Niederlassungsbewilligung sind, wurde die Überstellung nach Kroatien in Anwendung von Art. 44 AsylG ebenfalls zu Recht angeordnet (Art. 32 Bst. a AsylV 1).</w:t>
      </w:r>
    </w:p>
    <w:p>
      <w:r>
        <w:rPr>
          <w:b/>
        </w:rPr>
        <w:t>E. 12</w:t>
      </w:r>
    </w:p>
    <w:p>
      <w:r>
        <w:t>Zusammenfassend ergibt sich somit, dass die angefochtene Verfügung Bundesrecht nicht verletzt, den rechtserheblichen Sachverhalt richtig sowie vollständig feststellt und - soweit diesbezüglich überprüfbar - angemessen ist. Die Beschwerde ist daher abzuweisen. Die Gesuche um Erteilung der aufschiebenden Wirkung sowie Verzicht auf die Erhebung eines Kostenvorschusses sind mit dem vorliegenden Entscheid in der Sache gegenstandslos geworden. Der angeordnete Vollzugstopp fällt dahin.</w:t>
      </w:r>
    </w:p>
    <w:p>
      <w:r>
        <w:rPr>
          <w:b/>
        </w:rPr>
        <w:t>E. 13</w:t>
      </w:r>
    </w:p>
    <w:p>
      <w:r>
        <w:t>Gestützt auf Art. 63 Abs. 1 in fine VwVG ist auf die Erhebung von Verfahrenskosten zu verzichten. Das Gesuch um Gewährung der unentgeltlichen Rechtspflege erweist sich damit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