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D-2689/2022 vom 4. Juli 2022</w:t>
      </w:r>
    </w:p>
    <w:p>
      <w:r>
        <w:t>Bundesverwaltungsgericht, 2022-07-04, FR</w:t>
      </w:r>
    </w:p>
    <w:p>
      <w:r>
        <w:rPr>
          <w:b/>
        </w:rPr>
        <w:t xml:space="preserve">Quelle: </w:t>
      </w:r>
      <w:r>
        <w:t>https://mcp.opencaselaw.ch/entscheid/bvger_D-2689_2022</w:t>
      </w:r>
    </w:p>
    <w:p>
      <w:r>
        <w:t>FR: TAF D-2689/2022 du 4 juillet 2022</w:t>
      </w:r>
    </w:p>
    <w:p>
      <w:r>
        <w:t>IT: TAF D-2689/2022 del 4 luglio 2022</w:t>
      </w:r>
    </w:p>
    <w:p>
      <w:pPr>
        <w:pStyle w:val="Heading2"/>
      </w:pPr>
      <w:r>
        <w:t>Regeste</w:t>
      </w:r>
    </w:p>
    <w:p>
      <w:r>
        <w:t>Asile (non-entrée en matière) et renvoi (procédure Dublin - art. 31a al. 1 let. b LAsi)</w:t>
      </w:r>
    </w:p>
    <w:p>
      <w:pPr>
        <w:pStyle w:val="Heading2"/>
      </w:pPr>
      <w:r>
        <w:t>Erwägungen</w:t>
      </w:r>
    </w:p>
    <w:p>
      <w:r>
        <w:rPr>
          <w:b/>
        </w:rPr>
        <w:t>E. 21</w:t>
      </w:r>
    </w:p>
    <w:p>
      <w:r>
        <w:t>septembre 2021 consid. 3.2.2), que l’intéressée ne pouvant pas se prévaloir, sous l'angle de la disposition précitée, de la présence de sa fille en Suisse pour demander que cet Etat traite sa demande d'asile, l’Espagne demeure l’Etat compétent pour procéder à ce traitement, que la recourante s’est toutefois opposée à son transfert dans ce pays en affirmant qu’il y existait des défaillances systémiques au sens de l'art. 3 par. 2 du règlement Dublin III ; qu’elle a par ailleurs invoqué ses problèmes de santé ; qu’elle a également relevé qu’elle n’avait déposé aucune demande d’asile en Espagne, qu’elle n’y avait pas « mis les pieds » et que le visa Schengen délivré par ce pays avait constitué sa seule possibilité de quitter la Russie, qu’il convient d’abord de rappeler que le règlement Dublin ne confère pas aux demandeurs d'asile le droit de choisir l'Etat membre par lequel ils souhaitent que leur demande soit traitée ou offrant, à leur avis, les</w:t>
      </w:r>
    </w:p>
    <w:p>
      <w:r>
        <w:t>D-2689/2022 Page 7 meilleures conditions d'accueil comme Etat responsable de l'examen de leur demande d'asile (cf. ATAF 2010/45 consid. 8.3), que cela étant, il n’y a aucune raison sérieuse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 UE ; art. 3 par. 2 al. 2 du règlement Dublin III), que l’Espagne est liée à cette Chartre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w:t>
      </w:r>
    </w:p>
    <w:p>
      <w:r>
        <w:t>D-2689/2022 Page 8 (cf. ATAF 2010/45 consid. 7.4 et 7.5 ; notamment arrêts du Tribunal D-2684/2022 du</w:t>
      </w:r>
    </w:p>
    <w:p>
      <w:r>
        <w:rPr>
          <w:b/>
        </w:rPr>
        <w:t>E. 24</w:t>
      </w:r>
    </w:p>
    <w:p>
      <w:r>
        <w:t>juin 2022 ; D-1868/2022 du</w:t>
      </w:r>
    </w:p>
    <w:p>
      <w:r>
        <w:rPr>
          <w:b/>
        </w:rPr>
        <w:t>E. 26</w:t>
      </w:r>
    </w:p>
    <w:p>
      <w:r>
        <w:t>janvier 2022 ; F-4737/2021 du 3 novembre 2021), que l’article daté du 6 juin 2020 produit à l’appui du recours, intitulé « L’Espagne face à une crise systémique », relatif à la situation générale, politique et institutionnelle de cet Etat, n’est pas de nature à remettre en cause le point de vue constant du Tribunal, en tant qu’il date de plus de deux ans et qu’il s’agit d’un élément de nature essentiellement générale et abstraite, de surcroît sans lien direct avéré avec la situation personnelle de la recourante, que partant, l'application de l'art. 3 par. 2 du règlement Dublin III ne se justifie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l'intéressée n'a pas démontré l’existence d’un risque concret que les autorités espagnoles refuseraient de la prendre en charge et de mener une procédure d’examen de sa demande de protection internationale, en violation de la directive Procédure,</w:t>
      </w:r>
    </w:p>
    <w:p>
      <w:r>
        <w:t>D-2689/2022 Page 9 qu’en outre, elle n'a fourni aucun élément concret susceptible de démontrer que l’Espagne ne respecterait pas le principe du non-refoulement et faillirait donc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 elle-même privée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espagnol, qu’au demeurant, si – après son arrivée en Espagne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appropriées (art. 26 directive Accueil), que la recourante s’est également opposée à son transfert en Espagne au motif que sa fille, dont elle dépendrait, se trouve en Suisse,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que selon la jurisprudence constante de la Cour européenne des droits de l’Homme (ci-après : CourEDH), les rapports entre parents et enfants adultes ne bénéficient en principe pas de la protection de la « vie familiale » de l'art. 8 CEDH sans que soit démontrée « l'existence d'éléments</w:t>
      </w:r>
    </w:p>
    <w:p>
      <w:r>
        <w:t>D-2689/2022 Page 10 supplémentaires de dépendance, autres que les liens affectifs normaux » (cf. arrêt du Tribunal E-399/2021 du 3 février 2021 et jurisp. cit.),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qu’en l’espèce, la fille de la recourante, également requérante d’asile, ne dispose pas en Suisse d’un titre de séjour durable, que de toute façon, la relation familiale invoquée est celle existant entre une mère et sa fille majeure ; qu’il en résulte que la protection prévue par l'art. 8 par. 1 CEDH n'est applicable, au regard de la jurisprudence du Tribunal fédéral, qu'en cas de rapport de dépendance renforcé ; que la recourante n'a cependant pas démontré qu’elle était effectivement dépendante de l’assistance de sa fille du fait d'une maladie ou d'un handicap graves, requérant au surplus une assistance et des soins quotidiens qu’elle seule serait susceptible de lui prodiguer (cf. en ce sens ATAF 2017 VI/5 précité consid. 8.5.4.1 ss), qu’au demeurant, comme relevé précédemment, la recourante n’a pas à craindre d'être séparée de sa fille à l'issue de la présente procédure de recours, leurs causes étant traitées de manière coordonnée, que la recourante a d’autre part invoqué ses problèmes de santé, que selon ses dires, elle serait atteinte de (…) ; qu’en outre, selon un courrier de son thérapeute du 17 juin 2022 apparemment, son état de santé nécessite une prise en charge addictologique et psychiatrique urgente en raison d’une suspicion de dépendance éthylique, respectivement d’une tentative de suicide, que selon la jurisprudence de la CourEDH (cf. arrêt N. contre Royaume-Uni [GC]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w:t>
      </w:r>
    </w:p>
    <w:p>
      <w:r>
        <w:t>D-2689/2022 Page 11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qu’en l’espèce, même s’ils ne doivent pas être minimisés, les problèmes médicaux dont souffre la recourante ne sont pas à ce point graves qu’ils s’opposeraient à son transfert vers l’Espagne, ce pays disposant de structures médicales adéquates, voire similaires à celles existant en Suisse (cf. arrêt du Tribunal F-1748/2022 du 20 juin 2022 consid. 5.2 et jurisp. cit.), que rien n'indique par ailleurs que ses troubles nécessiteraient impérativement un traitement sur le long cours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comme il l’a relevé dans sa décision à laquelle il est renvoyé, le SEM tiendra compte de l’état de santé de la recourante dans le cadre des modalités de son transfert, avec une évaluation de ses capacité à être transférée et avec la transmission aux autorités espagnoles des informations relatives à ses besoins en termes de soins de santé comme prévu par les art. 31 et 32 du règlement Dublin III, que même si un risque pour la recourante de suicide était mis à jour dans le cadre de ces modalités, ce risque n’astreindrait pas la Suisse à s’abstenir d’exécuter le transfert, mais à prendre des mesures concrètes</w:t>
      </w:r>
    </w:p>
    <w:p>
      <w:r>
        <w:t>D-2689/2022 Page 12 pour en prévenir la réalisation, conformément à la jurisprudence constante de la CourEDH (cf. arrêt du Tribunal E-373/2022 du 1er février 2022 et jurisp. cit.),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l’intéressée,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l’intéressée,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d’octroi de l’effet suspensif (art. 107a al. 2 LAsi)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D-2689/2022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