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D-2688/2022 vom 4. Juli 2022</w:t>
      </w:r>
    </w:p>
    <w:p>
      <w:r>
        <w:t>Bundesverwaltungsgericht, 2022-07-04, FR</w:t>
      </w:r>
    </w:p>
    <w:p>
      <w:r>
        <w:rPr>
          <w:b/>
        </w:rPr>
        <w:t xml:space="preserve">Quelle: </w:t>
      </w:r>
      <w:r>
        <w:t>https://mcp.opencaselaw.ch/entscheid/bvger_D-2688_2022</w:t>
      </w:r>
    </w:p>
    <w:p>
      <w:r>
        <w:t>FR: TAF D-2688/2022 du 4 juillet 2022</w:t>
      </w:r>
    </w:p>
    <w:p>
      <w:r>
        <w:t>IT: TAF D-2688/2022 del 4 luglio 2022</w:t>
      </w:r>
    </w:p>
    <w:p>
      <w:pPr>
        <w:pStyle w:val="Heading2"/>
      </w:pPr>
      <w:r>
        <w:t>Regeste</w:t>
      </w:r>
    </w:p>
    <w:p>
      <w:r>
        <w:t>Asile (non-entrée en matière) et renvoi (procédure Dublin - art. 31a al. 1 let. b LAsi)</w:t>
      </w:r>
    </w:p>
    <w:p>
      <w:pPr>
        <w:pStyle w:val="Heading2"/>
      </w:pPr>
      <w:r>
        <w:t>Erwägungen</w:t>
      </w:r>
    </w:p>
    <w:p>
      <w:r>
        <w:rPr>
          <w:b/>
        </w:rPr>
        <w:t>E. 24</w:t>
      </w:r>
    </w:p>
    <w:p>
      <w:r>
        <w:t>mai 2022), il y a lieu de relever que son transfert en Espagne se fera en compagnie de son fils, de la famille de ce dernier et de la mère de sa belle- fille, leurs causes étant traitées de manière coordonnées ; qu’elle ne se trouvera donc pas isolée dans ce pays, que l’intéressée ne pouvant pas se prévaloir, sous l'angle de la disposition précitée, de la présence de sa fille en Suisse pour demander que cet Etat traite sa demande d'asile, l’Espagne demeure l’Etat compétent pour procéder à ce traitement, que la recourante s’est toutefois opposée à son transfert dans ce pays en affirmant qu’il y existait des défaillances systémiques au sens de l'art. 3 par. 2 du règlement Dublin III ; qu’elle a par ailleurs invoqué ses problèmes de santé ; qu’elle a également relevé qu’elle n’avait déposé aucune</w:t>
      </w:r>
    </w:p>
    <w:p>
      <w:r>
        <w:t>D-2688/2022 Page 7 demande d’asile en Espagne, qu’elle n’y avait pas « mis les pieds » et que le visa Schengen délivré par ce pays avait constitué sa seule possibilité de quitter la Russie ; qu’elle a enfin soutenu qu’il était irrationnel de la renvoyer (recte : transférer) en Espagne, à savoir un pays où elle n’avait aucune famille, dont elle ne comprenait pas la langue et où elle ne disposait d’aucun logement, alors qu’elle pouvait compter en Suisse sur le soutien de sa fille, avec laquelle elle avait toujours entretenu des liens très étroits, qu’il convient d’abord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2010/45 consid. 8.3), que cela étant, il n’y a aucune raison sérieuse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18.12.2000, ci- après : Charte UE ; art. 3 par. 2 al. 2 du règlement Dublin III), que l’Espagne est liée à cette Chartre et partie à la Convention du</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w:t>
      </w:r>
    </w:p>
    <w:p>
      <w:r>
        <w:t>D-2688/2022 Page 8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 arrêt du Tribunal F-7195/2018 du 11 février 2020 consid. 6.1 à 6.3), qu'en l’espèce, en l'absence d'une pratique avérée de violation systématique des normes communautaires minimales en la matière, la présomption de respect par l’Espagne de ses obligations concernant les droits des requérants d'asile sur son territoire n’est pas renversée (cf. ATAF 2010/45 consid. 7.4 et 7.5 ; notamment arrêts du Tribunal D-2684/2022 du 24 juin 2022 ; D-1868/2022 du 26 avril 2022 ; E-1691/2022 du 12 avril 2022 consid. 4.2 ; F-5237/2021 du 21 février 2022 consid. 4.2.4 ; F-255/2022 du 26 janvier 2022 ; F-4737/2021 du 3 novembre 2021), que l’article daté du 6 juin 2020 produit à l’appui du recours, intitulé « L’Espagne face à une crise systémique », relatif à la situation générale, politique et institutionnelle de cet Etat, n’est pas de nature à remettre en cause le point de vue constant du Tribunal, en tant qu’il date de plus de deux ans et qu’il s’agit d’un élément de nature essentiellement générale et abstraite, de surcroît sans lien direct avéré avec la situation personnelle de la recourante, que partant, l'application de l'art. 3 par. 2 du règlement Dublin III ne se justifie pas,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(par exemple, lorsque ce transfert est illicite au sens de l'art. 3 CEDH pour des motifs médicaux),</w:t>
      </w:r>
    </w:p>
    <w:p>
      <w:r>
        <w:t>D-2688/2022 Page 9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 dans le cas particulier, l'intéressée n'a pas démontré l’existence d’un risque concret que les autorités espagnoles refuseraient de la prendre en charge et de mener une procédure d’examen de sa demande de protection internationale, en violation de la directive Procédure, qu’en outre, elle n'a fourni aucun élément concret susceptible de démontrer que l’Espagne ne respecterait pas le principe du non-refoulement et faillirait donc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 elle-même privée durablement de tout accès aux conditions matérielles minimales d’accueil prévues par la directive Accueil, qu’à ce titre, il lui reviendra toutefois d’entreprendre les démarches nécessaires à l’ouverture d’une procédure d’asile auprès des autorités compétentes à son arrivée sur le territoire espagnol, qu’au demeurant, si – après son arrivée en Espagne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espagnoles en usant des voies de droit appropriées (art. 26 directive Accueil), que la recourante s’est également opposée à son transfert en Espagne au motif que sa fille, chez laquelle elle est actuellement hébergée, réside en Suisse, où elle est au bénéfice d’une autorisation d’établissement, que selon la jurisprudence du Tribunal fédéral, pour pouvoir invoquer le droit au respect de la vie familiale, consacré aux art. 8 CEDH et 13 Cst.,</w:t>
      </w:r>
    </w:p>
    <w:p>
      <w:r>
        <w:t>D-2688/2022 Page 10 l'étranger doit entretenir une relation étroite et effective avec une personne de sa famille disposant d’un droit de séjour durable en Suisse (cf. notamment ATF 139 I 330 consid. 2.1), que les relations familiales visées par cette norme conventionnelle sont avant tout celles qui concernent la famille dite nucléaire ("Kernfamilie"), soit celles qui existent entre époux ou entre parents et enfants mineurs vivant en ménage commun (cf. ATF 140 I 77 consid. 5.2), que selon la jurisprudence constante de la CourEDH, les rapports entre parents et enfants adultes ne bénéficient en principe pas de la protection de la « vie familiale » de l'art. 8 CEDH sans que soit démontrée « l'existence d'éléments supplémentaires de dépendance, autres que les liens affectifs normaux » (cf. arrêt du Tribunal E-399/2021 du 3 février 2021 et jurisp. cit.), que l'état de dépendance particulier peut résulter d'un handicap ou d'une maladie graves (cf. ATF 145 I 227 consid. 3.1), qui doivent nécessiter une présence, une surveillance, des soins et une attention que seuls les proches parents sont généralement susceptibles d'assumer et de prodiguer (cf. arrêt du Tribunal fédéral 2C_614/2013 du 28 mars 2014 consid. 3 ; arrêt du Tribunal E-3833/2019 du 7 octobre 2019 consid. 6.5.1), qu’en l’espèce, la relation familiale invoquée est celle existant entre une mère et sa fille majeure ; qu’il en résulte que la protection prévue par l'art. 8 par. 1 CEDH n'est applicable, au regard de la jurisprudence du Tribunal fédéral, qu'en cas de rapport de dépendance renforcé ; que comme relevé précédemment, la recourante n'a cependant pas démontré qu’elle était effectivement dépendante de l’assistance de sa fille du fait d'une maladie ou d'un handicap graves, requérant au surplus une assistance et des soins quotidiens qu’elle seule serait susceptible de lui prodiguer (cf. en ce sens ATAF 2017 VI/5 précité consid. 8.5.4.1 ss), que la recourante a d’autre part invoqué ses problèmes de santé, que selon les certificats médicaux des 24 mai et 17 juin 2022 produits à l’appui du recours, l’intéressée a souffert d’un décollement de la rétine et a bénéficié en (…) de chirurgie du rachis avec des dorsolombalgies chroniques et une diminution de la capacité fonctionnelle ; qu’elle est en outre connue de longue date pour un syndrome métabolique, une fibrillation auriculaire avec échec de nombreuses tentatives d'ablation et un syndrome d'apnée obstructive du sommeil ; qu’elle a présenté récemment,</w:t>
      </w:r>
    </w:p>
    <w:p>
      <w:r>
        <w:t>D-2688/2022 Page 11 dans un contexte de crise hypertensive, une symptomatologie compatible avec angor (angine de poitrine) CCS II (limitation discrète lors des activités quotidiennes) nouveau, avec modifications électrocardiographiques justifiant des investigations avec possible tentative de revascularisation ; que, dans ce cadre, les voyages lui seraient contre-indiqués, que selon la jurisprudence de la Cour européenne des droits de l’Homme (ci-après : CourEDH ; cf. arrêt N. contre Royaume-Uni [GC]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qu’en l’espèce, même s’ils ne doivent pas être minimisés, les problèmes médicaux dont souffre la recourante ne sont pas à ce point graves qu’ils s’opposeraient à son transfert vers l’Espagne, ce pays disposant de structures médicales adéquates, voire similaires à celles existant en Suisse (cf. arrêt du Tribunal F-1748/2022 du 20 juin 2022 consid. 5.2 et jurisp. cit.), que rien n'indique par ailleurs que ses troubles nécessiteraient impérativement un traitement sur le long cours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w:t>
      </w:r>
    </w:p>
    <w:p>
      <w:r>
        <w:t>D-2688/2022 Page 12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espagnoles les renseignements permettant une telle prise en charge (art. 31 et 32 du règlement Dublin III), de s’assurer, en temps voulu, de l’aptitude de l’intéressée à être transférée et de prendre, le cas échéant, les mesures d’accompagnement qui devraient s’avérer nécessaires,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l’intéressée,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demande d’asile de l’intéressée,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D-2688/2022 Page 13 que dans la mesure où il a été immédiatement statué sur le fond, la demande d’octroi de l’effet suspensif (art. 107a al. 2 LAsi) est sans objet,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D-2688/2022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