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D-2685/2008 vom 17. November 2009</w:t>
      </w:r>
    </w:p>
    <w:p>
      <w:r>
        <w:t>Bundesverwaltungsgericht, 2009-11-17, DE</w:t>
      </w:r>
    </w:p>
    <w:p>
      <w:r>
        <w:rPr>
          <w:b/>
        </w:rPr>
        <w:t xml:space="preserve">Quelle: </w:t>
      </w:r>
      <w:r>
        <w:t>https://mcp.opencaselaw.ch/entscheid/bvger_D-2685_2008</w:t>
      </w:r>
    </w:p>
    <w:p>
      <w:r>
        <w:t>FR: TAF D-2685/2008 du 17 novembre 2009</w:t>
      </w:r>
    </w:p>
    <w:p>
      <w:r>
        <w:t>IT: TAF D-2685/2008 del 17 novembre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vom 12. April 2008 ist nicht in einer Amtssprache des Bundes abgefasst. Aus prozessökonomischen Gründen wurde auf eine Rückweisung der englischsprachigen Beschwerdeeingabe zur Übersetzung in eine Amtssprache verzichtet, da die (teilweise sinngemäss) gestellten Rechtsbegehren verständlich sowie begründet sind. Zudem wurde zur zunächst nur in englischer Sprache eingereichten Beschwerdeergänzung vom 1. Mai 2008 mit der nachfolgenden, beim BFM am 1. Juli 2009 eingegangenen Eingabe eine deutsche Übersetzung eingereicht. Der vorliegende Entscheid ergeht in deutscher Sprache (vgl. Art. 33a Abs. 2 VwVG i.V.m. Art. 6 AsylG).</w:t>
      </w:r>
    </w:p>
    <w:p>
      <w:r>
        <w:rPr>
          <w:b/>
        </w:rPr>
        <w:t>E. 1.4</w:t>
      </w:r>
    </w:p>
    <w:p>
      <w:r>
        <w:t>Die Beschwerde ist, abgesehen vom sprachlichen Mangel, frist- und formgerecht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2.2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w:t>
      </w:r>
    </w:p>
    <w:p>
      <w:r>
        <w:t>Zur Prüfung steht vorliegend, ob die vorinstanzlichen Erwägungen zur fehlenden Einreisebeachtlichkeit der vorgebrachten Benachteiligungen zutreffend sind.</w:t>
      </w:r>
    </w:p>
    <w:p>
      <w:r>
        <w:rPr>
          <w:b/>
        </w:rPr>
        <w:t>E. 3.1</w:t>
      </w:r>
    </w:p>
    <w:p>
      <w:r>
        <w:t>Die Vorinstanz führte zur Begründung ihres Entscheides im Wesentlichen aus, es müsse als realitätsfremd bezeichnet werden, dass die srilankischen Sicherheitskräfte nicht unmittelbar nach dem Vorfall im Jahre Z._______, bei welchem zwei Angehörige einer Spezialeinheit derselben im Haus des Beschwerdeführers von den LTTE aufgespürt und festgenommen worden seien, gegen den Beschwerdeführer vorgegangen seien, sondern erst im Jahre Q._______. Daneben erscheine es unwahrscheinlich, dass der Beschwerdeführer im Jahre Q._______ trotz des gravierenden Verdachts, für die Festnahme eines Angehörigen der srilankischen Sicherheitskräfte durch die LTTE verantwortlich gewesen zu sein, allein aufgrund eines einzelnen mitleidigen Armeeangehörigen, der auch noch seine Wunden gepflegt haben soll, wieder auf freien Fuss gesetzt worden wäre. Hinsichtlich des Vorfalls vom S._______ in B._______, wo auf den Beschwerdeführer geschossen, dabei jedoch versehentlich sein ihn begleitender Freund getötet worden sei, falle auf, dass der Beschwerdeführer nicht einmal den Namen dieses getöteten Freundes habe nennen können. Weiter habe der Beschwerdeführer keinen nachvollziehbaren Grund dafür geliefert, aus welchem Motiv die Männer auf ihn hätten schiessen sollen. Zudem sei nicht nachvollziehbar, dass diese Männer, die sich offenbar auf Hörweite zum Beschwerdeführer befunden haben sollen, aus dieser kurzen Distanz nicht ihn, sondern versehentlich seinen Freund getroffen hätten. Darüber hinaus habe der Beschwerdeführer vorgebracht, dass zehn bis fünfzehn Männer in schwarzer Kleidung am R._______ in seiner Abwesenheit zu ihm nach Hause gekommen seien und seine Ehefrau unter Drohungen nach ihm gefragt hätten. Diesbezüglich erstaune es, dass diese Männer ausgerechnet in seiner Abwesenheit zu ihm nach Hause gekommen sein sollen, müsse man doch bei dem geschilderten Verfolgungsinteresse eine vorherige Beobachtung der Lage voraussetzen. Schliesslich sei es als lebensfremd zu erachten, dass Armeeangehörige mehrfach vor dem Haus des Beschwerdeführers gestanden seien, ohne etwas zu unternehmen. Wäre tatsächlich ein Verfolgungsinteresse vorhanden gewesen, dann hätte man sich nicht mit diesem Vorgehen begnügt, sondern sofort weitergreifendere Massnahmen unternommen. Die Asylvorbringen müssten daher aufgrund ihrer realitätsfremden Schilderungen als unglaubhaft beurteilt werden. An dieser Einschätzung vermöchten auch die eingereichten Beweismittel nichts zu ändern, da es sich bei diesen Bestätigungen in erster Linie um auf Wunsch des Beschwerdeführers ausgestellte Schreiben handle und sich diese zudem im Wesentlichen auf dessen eigene Angaben und nicht auf objektivierte Erkenntnisse stützen würden. Ferner stellten die tragischen Ereignisse bezüglich (...) Folgen der damaligen Kriegssituation in der Herkunftsregion des Beschwerdeführers dar. Dabei handle es sich nicht um Nachteile, welche als zielgerichtete Verfolgung im Sinne von Art. 3 AsylG eingestuft werden könnten. Diese belastenden Ereignisse vermöchten daher keine Schutzbedürftigkeit zu begründen.</w:t>
      </w:r>
    </w:p>
    <w:p>
      <w:r>
        <w:rPr>
          <w:b/>
        </w:rPr>
        <w:t>E. 3.2</w:t>
      </w:r>
    </w:p>
    <w:p>
      <w:r>
        <w:t>Die betreffenden Erkenntnisse des Bundesamtes sind nach Prüfung der Akten zu bestätigen. Insbesondere vermag der Beschwerdeführer eine Gefährdung nach Art. 3 AsylG nicht glaubhaft zu machen. Grundsätzlich sind die Vorbringen eines Gesuchstellers dann glaubhaft, wenn sie genügend substanziiert, in sich schlüssig und plausibel sind; d. h. sie dürfen sich nicht in vagen Schilderungen erschöpfen, in wesentlichen Punkten nicht widersprüchlich sein oder der innern Logik entbehren und auch nicht den Tatsachen oder der allgemeinen Erfahrung widersprechen. Darüber hinaus muss ein Gesuchsteller persönlich glaubwürdig erscheinen. Glaubhaftmachen bedeutet - im Gegensatz zum strikten Beweis - ein reduziertes Beweismass und lässt durchaus Raum für gewisse Einwände und Zweifel an den Vorbringen eines Gesuchstellers. Entscheidend ist, ob die Gründe, die für die Richtigkeit der Sachverhaltsdarstellung sprechen, überwiegen oder nicht. Dabei ist auf eine objektivierte Sichtweise abzustellen (vgl. Entscheidungen und Mitteilungen der Schweizerischen Asylrekurskommission [EMARK] 2004 Nr. 1 E. 5a S. 4 f.). Diesen Voraussetzungen vermögen die Schilderungen des Beschwerdeführers nicht zu genügen. Die Vorinstanz hat im angefochtenen Entscheid in einlässlicher Weise die zu Recht erwogenen Unstimmigkeiten im Sachverhaltsvortrag des Beschwerdeführers aufgelistet, denen sich das Bundesverwaltungsgericht vollumfänglich anschliesst. Dem Beschwerdeführer gelingt es weder mit seinen Ausführungen auf Beschwerdeebene noch mit den in diesem Zusammenhang eingereichten Beweismitteln, seine Vorbringen in einem anderen, mithin glaubhafteren Licht darzustellen, zumal er den vorinstanzlichen Erwägungen keine stichhaltigen Argumente entgegenzuhalten vermag. Insbesondere führt der Beschwerdeführer in seiner Beschwerdeergänzung vom 1. Mai 2008 im Widerspruch zu seinen Angaben anlässlich der Anhörung durch die Schweizerische Botschaft in Colombo zum angeblich entscheidenden und die behördliche Verfolgung auslösenden Vorfall des Jahres Z._______ - den der Beschwerdeführer notabene in seinem Asylgesuch vom 31. Oktober 2006 noch in den Zeitraum (...) legte - an, nicht Angehörige des CID seien durch die LTTE festgenommen, sondern einer von zwei Angehörigen des LTTE-Kaders sei von Armeeangehörigen verhaftet worden, wobei der andere habe fliehen können. Auch bezüglich des Attentatsversuchs im S._______, das vom Beschwerdeführer einmal auf den 25. dann wieder auf den 26. des erwähnten Monats datiert wurde, bleiben die Aussagen uneinheitlich. So will der Beschwerdeführer gemäss den Ausführungen in seiner Beschwerdeergänzung nun einen der in den bisherigen Eingaben für ihn noch unbekannten Attentäter erkannt haben. Auch habe ihm dieser Attentäter in der Folge ins Gesicht gesagt, er werde ihm nicht erlauben zu leben. In diesem Zusammenhang bleibt aber nicht nachvollziehbar, weshalb der Attentäter seine Drohung nicht bereits anlässlich des Aussprechens dieser Drohung gegenüber dem Beschwerdeführer wahrgemacht hat. Überdies bleibt unerklärlich, weshalb die Attentäter - die sich offenbar auf Hörweite zum Beschwerdeführer befunden haben sollen - nach der Schussabgabe nicht sicherstellten, dass er auch tatsächlich getroffen wurde. Zudem erstaunt, dass es dem Beschwerdeführer im Rahmen der Anhörung in der Botschaft nicht gelang, den Namen seines getöteten Freundes zu benennen, zumal er dessen Namen nun in seiner Beschwerdeschrift problemlos wiederzugeben imstande war. Jedenfalls vermag der Beschwerdeführer aus dem Umstand der nachträglichen Angabe des Namens seines getöteten Freundes mit Blick auf die Glaubhaftigkeit dieses Sachverhaltselementes unter den geschilderten Umständen nichts zu seinen Gunsten herzuleiten, zumal der Name dieses Freundes G._______ sein soll, laut dem anlässlich der Anhörung vom 11. Januar 2008 vom Beschwerdeführer gezeigten Zeitungsartikel hingegen auf H._______ lauten soll (vgl. A6/19, S. 12). Die zur Stützung der Vorbringen eingereichten Bestätigungen vermögen nicht zu einer anderen Einschätzung zu führen, erweisen sich diese doch - soweit sie sich nicht bloss auf die Angaben des Beschwerdeführers stützen - in einzelnen Sachverhaltselementen als im Widerspruch zu seinen Ausführungen stehend oder widersprechen sich untereinander, so beispielsweise hinsichtlich der Umstände der Verhaftung eines Armeeangehörigen beziehungsweise eines Kadermitglieds der LTTE im Jahre Z._______, der Anzahl Attentäter und der genauen Örtlichkeiten des Vorfalls im S._______. Ferner hat das BFM im angefochtenen Entscheid zutreffend festgestellt, dass die vom Beschwerdeführer angeführte Tötung (...) unmittelbar eine Folge der damaligen Kriegsereignisse in Sri Lanka gewesen sind. Dasselbe gilt auch in Bezug auf die Todesumstände von D._______ im Jahre U._______. Diese Ereignisse vermögen zum heutigen Zeitpunkt zu keiner objektiv begründeten Furcht vor zukünftiger Verfolgung im Sinne der zu beachtenden Bestimmungen zu führen. Unter diesen Umständen vermögen die geltend gemachten Ereignisse praxisgemäss nicht zur Anerkennung der Flüchtlingseigenschaft und zur Gewährung des Asyls zu führen.</w:t>
      </w:r>
    </w:p>
    <w:p>
      <w:r>
        <w:rPr>
          <w:b/>
        </w:rPr>
        <w:t>E. 3.3</w:t>
      </w:r>
    </w:p>
    <w:p>
      <w:r>
        <w:t>Bei dieser Sachlage und in Würdigung der gesamten Umstände und Vorbringen des Beschwerdeführers ist zusammenfassend festzustellen, dass dieser die Voraussetzungen für die Bewilligung der Einreise nicht erfüllt. Es erübrigt sich angesichts obiger Erwägungen, auf die weiteren Ausführungen in der Beschwerde und die eingereichten Beweismittel im Einzelnen weiter einzugehen, da sie am Ergebnis nichts zu ändern vermögen. Die Vorinstanz hat daher die Einreise des Beschwerdeführers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und 5 VwVG). In Anwendung von Art. 6 Abs. 1 des Reglements vom 21. Februar 2008 über die Kosten und Entschädigungen vor dem Bundesverwaltungsgericht [VGKE, SR 173.320.2]) ist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