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D-2683/2022 vom 13. Juni 2022</w:t>
      </w:r>
    </w:p>
    <w:p>
      <w:r>
        <w:t>Bundesverwaltungsgericht, 2022-06-13, FR</w:t>
      </w:r>
    </w:p>
    <w:p>
      <w:r>
        <w:rPr>
          <w:b/>
        </w:rPr>
        <w:t xml:space="preserve">Quelle: </w:t>
      </w:r>
      <w:r>
        <w:t>https://mcp.opencaselaw.ch/entscheid/bvger_D-2683_2022_d20220613</w:t>
      </w:r>
    </w:p>
    <w:p>
      <w:r>
        <w:t>FR: TAF D-2683/2022 du 13 juin 2022</w:t>
      </w:r>
    </w:p>
    <w:p>
      <w:r>
        <w:t>IT: TAF D-2683/2022 del 13 giugno 2022</w:t>
      </w:r>
    </w:p>
    <w:p>
      <w:pPr>
        <w:pStyle w:val="Heading2"/>
      </w:pPr>
      <w:r>
        <w:t>Regeste</w:t>
      </w:r>
    </w:p>
    <w:p>
      <w:r>
        <w:t>Asile (non-entr&amp;eacute;e en mati&amp;egrave;re) et renvoi (proc&amp;eacute;dure Dublin - art. 31a al. 1 let. b LAsi) | Asile (non-entrée en matière / procédure Dublin) et renvoi; décision du SEM du 13 juin 2022</w:t>
      </w:r>
    </w:p>
    <w:p>
      <w:pPr>
        <w:pStyle w:val="Heading2"/>
      </w:pPr>
      <w:r>
        <w:t>Erwägungen</w:t>
      </w:r>
    </w:p>
    <w:p>
      <w:r>
        <w:rPr>
          <w:b/>
        </w:rPr>
        <w:t>E. 28</w:t>
      </w:r>
    </w:p>
    <w:p>
      <w:r>
        <w:t>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w:t>
      </w:r>
    </w:p>
    <w:p>
      <w:r>
        <w:t>D-2683/2022 Page 7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 (cf. ATAF 2010/45 consid. 7.4 et 7.5 ; notamment arrêts du Tribunal D-2684/2022 du 24 juin 2022 ; D-1868/2022 du 26 avril 2022 ; E-1691/2022 du 12 avril 2022 consid. 4.2 ; F-5237/2021 du 21 février 2022 consid. 4.2.4 ; F-255/2022 du 26 janvier 2022 ; F-4737/2021 du 3 novembre 2021), que l’article daté du 6 juin 2020 produit à l’appui du recours, intitulé « L’Espagne face à une crise systémique », relatif à la situation générale, politique et institutionnelle de cet Etat, n’est pas de nature à remettre en cause le point de vue constant du Tribunal, en tant qu’il date de plus de deux ans et qu’il s’agit d’un élément de nature essentiellement générale et abstraite, de surcroît sans lien direct avéré avec la situation personnelle des recourants, que partant, l'application de l'art. 3 par. 2 du règlement Dublin III ne se justifie pas,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ce transfert est illicite au sens de l'art. 3 CEDH pour des motifs médicaux),</w:t>
      </w:r>
    </w:p>
    <w:p>
      <w:r>
        <w:t>D-2683/2022 Page 8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sur l'ensemble de ces questions, arrêt du Tribunal F-5470/2018 du 28 janvier 2019 consid. 6.2), que dans le cas particulier, les intéressés n'ont pas démontré l’existence d’un risque concret que les autorités espagnoles refuseraient de les prendre en charge et de mener une procédure d’examen de leur demande de protection internationale, en violation de la directive Procédure, qu’en outre, ils n'ont fourni aucun élément concret susceptible de démontrer que l’Espagne ne respecterait pas le principe du non-refoulement et faillirait donc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qu’à ce titre, il leur reviendra toutefois d’entreprendre les démarches nécessaires à l’ouverture d’une procédure d’asile auprès des autorités compétentes à leur arrivée sur le territoire espagnol, qu’au demeurant, si – après leur arrivée en Espagne – les recourants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 droits fondamentaux, il leur appartiendrait de faire valoir leurs droits directement auprès des autorités espagnoles en usant des voies de droit appropriées (art. 26 directive Accueil), que les recourants se sont également opposés à leur transfert en Espagne au motif que leur sœur, respectivement leur belle-sœur et tante de leurs enfants, chez laquelle ils sont actuellement hébergés, réside en Suisse, où elle est au bénéfice d’une autorisation d’établissement,</w:t>
      </w:r>
    </w:p>
    <w:p>
      <w:r>
        <w:t>D-2683/2022 Page 9 que selon la jurisprudence du Tribunal fédéral, pour pouvoir invoquer le droit au respect de la vie familiale, consacré aux art. 8 CEDH et 13 de la Constitution fédérale de la Confédération suisse du 18 avril 1999 (Cst., RS 101), l'étranger doit entretenir une relation étroite et effective avec une personne de sa famille disposant d’un droit de séjour durable en Suisse (cf. notamment ATF 139 I 330 consid. 2.1), que les relations familiales visées par cette norme conventionnelle sont avant tout celles qui concernent la famille dite nucléaire ("Kernfamilie"), soit celles qui existent entre époux ou entre parents et enfants mineurs vivant en ménage commun (cf. ATF 140 I 77 consid. 5.2) ; que pour les relations qui sortent du cadre de ce noyau familial (par exemple entre frères et sœurs), l'art. 8 par. 1 CEDH ne confère un droit au regroupement familial qu'à la condition qu'il existe un rapport de dépendance particulier entre l'étranger et le proche parent établi en Suisse, par exemple en raison d'un handicap – physique ou mental – ou d'une maladie grave dont il souffrirait (cf. p. ex. arrêt du Tribunal F-1748/2022 du 20 juin 2022 consid. 6.1 et jurisp. cit.), qu’en l’espèce, la relation familiale invoquée est celle existant entre un frère et une sœur, tous deux majeurs ; qu’il en résulte que la protection prévue par l'art. 8 par. 1 CEDH n'est applicable, au regard de la jurisprudence du Tribunal fédéral, qu'en cas de rapport de dépendance renforcé ; que cependant, le recourant n'a pas démontré, comme relevé précédemment, qu’il était effectivement dépendant de l’assistance de sa sœur du fait d'une maladie ou d'un handicap grave, requérant au surplus une assistance et des soins quotidiens qu’elle seule serait susceptible de lui prodiguer (cf. en ce sens ATAF 2017 VI/5 précité consid. 8.5.4.1 ss), que les recourants ont par ailleurs invoqué les problèmes de santé de l’intéressé et de leur fille, que le recourant présente une altération de l’état général – avec des troubles digestifs et une perte de poids (…) – en cours d’investigation et qui contre-indiquerait un voyage à l’étranger en l’état actuel (cf. certificat médical du 16 juin 2022), que s’agissant de C._______, elle a dû consulter un pédiatre le 8 juin 2022 dans un contexte de toux et de fièvre, avec suspicion de tuberculose ; que son état de santé ne lui permettrait pas de voyager (cf. certificat médical du 15 juin 2022),</w:t>
      </w:r>
    </w:p>
    <w:p>
      <w:r>
        <w:t>D-2683/2022 Page 10 que selon la jurisprudence de la Cour européenne des droits de l’Homme (ci-après : CourEDH ; cf. arrêt N. contre Royaume-Uni [GC]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qu’en l’espèce, même s’ils ne doivent pas être minimisés, les problèmes médicaux dont souffrent le recourant et sa fille ne sont pas à ce point graves qu’ils s’opposeraient à leur transfert vers l’Espagne, ce pays disposant de structures médicales adéquates, voire similaires à celles existant en Suisse (cf. F-1748/2022 consid. 5.2 et jurisp. cit.), que rien n'indique par ailleurs que leurs troubles nécessiteraient impérativement un traitement sur le long cours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espagnoles les renseignements permettant une telle prise en charge (art. 31 et 32 du règlement Dublin III), de</w:t>
      </w:r>
    </w:p>
    <w:p>
      <w:r>
        <w:t>D-2683/2022 Page 11 s’assurer, en temps voulu, de l’aptitude de l’intéressé et de sa fille à être transférés et de prendre, le cas échéant, les mesures d’accompagnement qui devraient s’avérer nécessaires,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les intéressés,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des intéressés, en application de l’art. 31a al. 1 let. b LAsi, et qu’il a prononcé leur transfert de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d’octroi de l’effet suspensif (art. 107a al. 2 LAsi) est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D-2683/2022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