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D-2681/2018 vom 12. Juni 2018</w:t>
      </w:r>
    </w:p>
    <w:p>
      <w:r>
        <w:t>Bundesverwaltungsgericht, 2018-06-12, DE</w:t>
      </w:r>
    </w:p>
    <w:p>
      <w:r>
        <w:rPr>
          <w:b/>
        </w:rPr>
        <w:t xml:space="preserve">Quelle: </w:t>
      </w:r>
      <w:r>
        <w:t>https://mcp.opencaselaw.ch/entscheid/bvger_D-2681_2018</w:t>
      </w:r>
    </w:p>
    <w:p>
      <w:r>
        <w:t>FR: TAF D-2681/2018 du 12 juin 2018</w:t>
      </w:r>
    </w:p>
    <w:p>
      <w:r>
        <w:t>IT: TAF D-2681/2018 del 12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Die Beschwerdeeingabe richtet sich gegen die Ablehnung des Asylgesuchs, die Feststellung der Vorinstanz, der Beschwerdeführer erfülle die Flüchtlingseigenschaft nicht, sowie die Anordnung der Wegweisung als solche. Die Frage des Vollzugs der Wegweisung bildet nicht Gegenstand des Beschwerdeverfahrens.</w:t>
      </w:r>
    </w:p>
    <w:p>
      <w:r>
        <w:rPr>
          <w:b/>
        </w:rPr>
        <w:t>E. 4.1</w:t>
      </w:r>
    </w:p>
    <w:p>
      <w:r>
        <w:t>Über offensichtlich unbegründete Beschwerden wird in einzelrichterlicher Zuständigkeit mit Zustimmung eines zweiten Richters beziehungsweise einer zweiten Richterin entschieden (Art. 111 Bst. e AsylG). Vorliegend handelt es sich, wie vorliegend aufgezeigt wird, um eine solche,weshalb der Beschwerdeentscheid nur summarisch zu begründen ist (Art. 111a Abs. 2 AsylG).</w:t>
      </w:r>
    </w:p>
    <w:p>
      <w:r>
        <w:rPr>
          <w:b/>
        </w:rPr>
        <w:t>E. 4.2</w:t>
      </w:r>
    </w:p>
    <w:p>
      <w:r>
        <w:t>Gestützt auf Art. 111a Abs. 1 AsylG wird auf einen Schriftenwechsel verzichtet.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begründete sein Asylgesuch im Wesentlichen damit, er sei kurz vor seiner Ausreise von den syrischen Streitkräften im Jahre 2014 zur Rekrutierung aufgeboten worden. Aufgrund seiner Weigerung, in Syrien Militärdienst zu leisten, drohe ihm dort eine unverhältnismässige Bestrafung.</w:t>
      </w:r>
    </w:p>
    <w:p>
      <w:r>
        <w:rPr>
          <w:b/>
        </w:rPr>
        <w:t>E. 6.1.1</w:t>
      </w:r>
    </w:p>
    <w:p>
      <w:r>
        <w:t>Zunächst ist hinsichtlich des auf erstinstanzlicher Ebene eingereichten Rekrutierungsbefehls vom 13. September 2014 festzustellen, dass es sich dabei, wie von der Vorinstanz in der angefochtenen Verfügung zutreffend ausgeführt, lediglich um eine militärische Aushebung respektive eine anstehende Überprüfung der Diensttauglichkeit handelt. Somit ist aufgrund der Akten davon auszugehen, dass die militärische Dienstpflicht des Beschwerdeführers durch die staatlichen syrischen Behörden bis anhin noch gar nicht festgestellt worden ist. Dies ist aber nicht mit einer Verweigerung der militärischen Dienstpflicht gleichzusetzen da eine solche voraussetzt, dass die für die Rekrutierung zuständige Behörde diese Dienstpflicht tatsächlich - durch entsprechende Eintragung ins Militärbüchlein - festgestellt hat, womit überhaupt erst die Möglichkeit der Einberufung entsteht. Somit kann gestützt auf dieses Dokument nicht davon ausgegangen werden, der Beschwerdeführer habe sich einem Einberufungsbefehl widersetzt und werde deshalb als Dienstverweigerer betrachtet. Zudem ist dessen Authentizität grundsätzlich zu bezweifeln. So können Dokumente von der Art des eingereichten Rekrutierungsbefehls leicht käuflich erworben werden, und ihre eigenhändige Fälschung ist einfach. Das Dokument weist keinerlei fälschungssichere Merkmale auf.</w:t>
      </w:r>
    </w:p>
    <w:p>
      <w:r>
        <w:rPr>
          <w:b/>
        </w:rPr>
        <w:t>E. 6.1.2</w:t>
      </w:r>
    </w:p>
    <w:p>
      <w:r>
        <w:t>Selbst wenn indessen von einer tatsächlichen Wehrdienstverweigerung des Beschwerdeführers auszugehen wäre, bliebe in diesem Zusammenhang auf die gefestigte Praxis zu verweisen, wonach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vgl. anstatt Vieler Urteil des BVGer D-2072/2018 vom 24. April 2018). Im vorliegenden Fall liegt indessen keine vergleichbare Konstellation vor. So liegen den Akten keine Hinweise zugrunde, dass sich die Familie des Beschwerdeführers aktiv in der Opposition engagiert hätte. Dem entspricht, dass sich nach Darstellung des Beschwerdeführers in der BzP im Zeitpunkt seiner eigenen Ausreise aus Syrien sowohl seine Eltern als auch seine zwölf Geschwister nach wie vor in Syrien aufgehalten hätten (vgl. act. A5/11 S. 4 f. Ziff. 3.01). Im Weiteren verneinte der Beschwerdeführer sowohl die Frage, ob er politisch aktiv gewesen sei, als auch diejenige, ob er (in diesem Zusammenhang) jemals irgendwelche Anstände mit einer Behörde, der Polizei, dem Militär, einer Partei oder sonst einer Organisation gehabt habe (vgl. act. A5/11 S. 6 Ziff. 7.02). Entsprechend vermochte der Beschwerdeführer keine Verfolgung im Heimatstaat glaubhaft zu machen. An dieser Feststellung ändert auch der Umstand nichts, dass der Beschwerdeführer im Falle einer Rückkehr nach Syrien aufgrund des neuen Parlamentsbeschlusses vom 10. November 2017 wegen Nichtleistung des Militärdienstes allenfalls eine Geldstrafe von 8000 USD zahlen müsste, handelt es sich hierbei doch im Ergebnis um eine Busse für die Verweigerung der staatsbürgerlichen Pflicht, den Militärdienst zu leisten. Demnach ist auch nicht davon auszugehen, dass er im Falle einer heutigen (hypothetischen) Rückkehr in seine Heimat eine politisch motivierte Bestrafung und Behandlung zu gewärtigen hätte, die einer flüchtlingsrechtlich relevanten Verfolgung im Sinne von Art. 3 AsylG gleichkommen würde. Die von ihm dahingehend geäusserte Verfolgungsfurcht erscheint somit unbegründet. In der Beschwerde wird zwar unter Hinweis auf den Grundsatz der Rechtsgleichheit vorgebracht, das SEM habe in der Praxis bereits Syrer im dienst- und reservepflichtigen Alter vorläufig als Flüchtlinge aufgenommen (a.a.O. S. 9 f.). Dazu ist aber Folgendes zu bemerken: Die rechtsanwendenden Behörden sind gestützt auf Art. 8 BV gehalten, gleiche Sachverhalte mit gleichen relevanten Tatsachen auch gleich zu behandeln (vgl. Rainer J. Schweizer, in: Bernhard Ehrenzeller/Philippe Mastronardi/Rainer J. Schweizer/Klaus A. Vallender, Die schweizerische Bundesverfassung, Zürich 2002, N. 42 zu Art. 8; ferner BGE 129 I 346 E. 6 S. 357, BGE 129 I 113 E. 5.1 S. 125 f., BGE123 I 1 E. 6a S. 7 oder BGE Ia 257 E. 3b S. 259). Im vorliegenden Fall wurden die angeblich vergleichbaren tatsächlichen Verhältnisse in den aufgeführten Vergleichsfällen nicht in ausreichendem Masse spezifiziert. Im Übrigen ist darauf hinzuweisen, dass die Vorbringen von asylsuchenden Personen grundsätzlich einer individuellen Beurteilung unterliegen, weshalb es durchaus vorkommen kann, dass trotz ähnlicher Sachverhalte respektive punktuell teilweise gleicher Sachverhaltselemente im Ergebnis unterschiedliche Asylentscheide ergehen. Es bestehen im vorliegenden Fall überdies keine konkreten Anhaltspunkte dafür, dass die Vorinstanz ohne vernünftigen Grund neue rechtliche Unterscheidungen eingeführt oder vernünftige rechtliche Unterscheidungen unterlassen hätte. So fällt etwa auf, dass es sich bei den vom Beschwerdeführer genannten Fällen allesamt - im Unterschied zu ihm - um Refraktäre gehandelt hat. Nach dem Gesagten ist der vorliegende Entscheid auch unter dem Aspekt des Gleichbehandlungsgebotes nicht zu beanstanden.</w:t>
      </w:r>
    </w:p>
    <w:p>
      <w:r>
        <w:rPr>
          <w:b/>
        </w:rPr>
        <w:t>E. 6.2</w:t>
      </w:r>
    </w:p>
    <w:p>
      <w:r>
        <w:t>Zusammenfassend ist somit festzustellen, dass es dem Beschwerdeführer nicht gelungen ist, die Flüchtlingseigenschaft nachzuweisen oder zumindest glaubhaft zu machen, weshalb die Vorinstanz sein Asylgesuch zu Recht abgelehnt hat. Es erübrigt sich, auf weitere Vorbringen in der Beschwerde einzugehen, da sie am Ergebnis nichts ändern können. Damit erübrigt es sich, Asylausschlussgründe im Sinne von Art. 54 AsylG zu prüfen.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der - einzig in den Punkten 1-3 des Dispositivs angefochtene - Asylentscheid des SEM Bundesrecht nicht verletzt sowie den rechtserheblichen Sachverhalt richtig und vollständig feststellt (Art.106 Abs. 1 AsylG). Die Beschwerde ist daher abzuweisen.</w:t>
      </w:r>
    </w:p>
    <w:p>
      <w:r>
        <w:rPr>
          <w:b/>
        </w:rPr>
        <w:t>E. 9.1</w:t>
      </w:r>
    </w:p>
    <w:p>
      <w:r>
        <w:t>Aufgrund der angestellten Erwägungen hat sich die Beschwerde als aussichtslos erwiesen. Somit ist das Gesuch um Gewährung der unentgeltlichen Prozessführung ungeachtet einer allfälligen Bedürftigkeit des Beschwerdeführers abzuweisen.</w:t>
      </w:r>
    </w:p>
    <w:p>
      <w:r>
        <w:rPr>
          <w:b/>
        </w:rPr>
        <w:t>E. 9.2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Mit dem vorliegenden Direktentscheid ist auch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