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D-267/2010 vom 11. August 2011</w:t>
      </w:r>
    </w:p>
    <w:p>
      <w:r>
        <w:t>Bundesverwaltungsgericht, 2011-08-11, DE</w:t>
      </w:r>
    </w:p>
    <w:p>
      <w:r>
        <w:rPr>
          <w:b/>
        </w:rPr>
        <w:t xml:space="preserve">Quelle: </w:t>
      </w:r>
      <w:r>
        <w:t>https://mcp.opencaselaw.ch/entscheid/bvger_D-267_2010</w:t>
      </w:r>
    </w:p>
    <w:p>
      <w:r>
        <w:t>FR: TAF D-267/2010 du 11 août 2011</w:t>
      </w:r>
    </w:p>
    <w:p>
      <w:r>
        <w:t>IT: TAF D-267/2010 del 11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vom 15. Januar 2010 macht der Beschwerdeführer im Wesentlichen geltend, er habe nach der illegalen Überschreitung der Schweizer Grenze ein traumatisierendes Erlebnis auf einem Polizeiposten gehabt, indessen davon abgesehen, in diesem Zusammenhang Strafanzeige zu erstatten. Stattdessen sei das Vorkommnis bei der Beurteilung der Glaubhaftigkeit seiner Vorbringen zu berücksichtigen. Der Beschwerdeführer habe nämlich, entgegen den Erwägungen in der angefochtenen Verfügung, die fluchtbegründenden Ereignisse grundsätzlich genügend konkret und schlüssig dargelegt. Es gebe aber Gründe für den desorientierten Eindruck, den der Beschwerdeführer teilweise hinterlassen habe. Hiezu gehöre neben dem mit der Hochzeit in Afghanistan in Zusammenhang stehenden Trauma auch das durch die schweizerische Polizei ausgelöste Trauma. Bekanntlich könnten traumatisierte Flüchtlinge keine lückenlosen und in sich stimmigen Fluchtgründe schildern. Dementsprechend seien knappe und äusserst stereotyp wirkende Angaben noch kein Indiz für die mangelhafte Glaubhaftigkeit der Vorbringen. Der Beschwerdeführer habe sich entgegen den vorinstanzlichen Erwägungen auch nicht widersprüchlich geäussert. So habe er nie davon gesprochen, dass die Taliban-Anhänger ihn in einem Auto abtransportiert hätten. Es müsse sich vielmehr um ein sprachliches Missverständnis handeln. Während der ganzen BzP sei es zu Missverständnissen gekommen, wie etwa die Bezifferung der Reisekosten auf 90'000 US Dollar belege. Im Übrigen stehe die Sachverhaltsdarstellung des Beschwerdeführers im Einklang mit den Beobachtungen von Hilfswerken und Nichtregierungsorganisationen. Ferner habe der Vater des Beschwerdeführers in der Zwischenzeit ein Schreiben eines Talibankommandanten, seines Zeichens ranghoher Vertreter der Taliban-Schattenregierung beziehungsweise Sicherheitsverantwortlicher der Provinz Kabul, zugestellt erhalten, wonach sich sein Sohn in der Provinz Q._______ beim Zentralgericht des Islamischen Emirats Afghanistan zu melden habe zwecks Abklärung der Frage, ob der Beschwerdeführer in Kabul für ausländische Nachrichtendienste arbeite. Dementsprechend habe der Beschwerdeführer begründete Furcht vor Verfolgungsmassnahmen seitens der Taliban. Überdies sei der Wegweisungsvollzug nach Afghanistan als unzulässig und unzumutbar zu betrachten, zumal es sich vor kurzem als unumgänglich erwiesen habe, den Beschwerdeführer psychiatrisch zu hospitalisieren. Da es in Afghanistan nur wenige Psychiater, Psychiatriepfleger und Sozialarbeiter gebe und auch nicht genügend Einrichtungen zur Behandlung von Trauma-Patienten vorhanden seien, erscheine der Wegweisungsvollzug als unzulässig, zumindest aber als unzumutbar.</w:t>
      </w:r>
    </w:p>
    <w:p>
      <w:r>
        <w:rPr>
          <w:b/>
        </w:rPr>
        <w:t>E. 5.2</w:t>
      </w:r>
    </w:p>
    <w:p>
      <w:r>
        <w:t>Diese Vorbringen in der Beschwerdeschrift vermögen nicht zu einer veränderten Betrachtungsweise zu führen. So ist zum einen nicht allein gestützt auf eine Parteibehauptung davon auszugehen, es habe in der Schweiz einen unzulässigen Übergriff seitens der Polizei auf den Beschwerdeführer gegeben. Träfen die entsprechenden Behauptungen des Beschwerdeführers zu, hätte er eine Strafanzeige erstatten können. Fehlendes Vertrauen in die hiesigen Behörden dürfte einen Asylgesuchsteller ohnehin kaum je von einer entsprechenden Strafanzeige abhalten, stellte sich doch andernfalls die Frage, weshalb er überhaupt in der Schweiz und nicht anderswo um Asyl ersuchte. Demnach ist der zwar geltend gemachte, aber beweislos gebliebene polizeiliche Übergriff auf den Beschwerdeführer in der Schweiz bei der Würdigung der Vorbringen des Beschwerdeführers ausser Acht zu lassen. Zum anderen ist auf die Protokolle der Anhörungen vom 28. September und 1. Dezember 2009 hinzuweisen, welche belegen, dass die Verständigung zwischen Dolmetscher und Beschwerdeführer aus der Warte des Beschwerdeführers gut beziehungsweise sehr gut war (A1/12 Ziff. 3 S. 2, Ziff. 23 S. 10, A27/20 F1 S. 1). Da die Dolmetscher vorgängig ihres Einsatzes unter anderem auch auf ihre fachlichen Fähigkeiten hin geprüft werden, können Widersprüche zwischen den Anhörungen auch nicht der Einfachheit halber auf fachliche Unzulänglichkeiten eines Dolmetschers zurückgeführt werden. Ebenso wenig dürften eigentliche Missverständnisse Anlass zu widersprüchlichen Protokollinhalten gegeben haben, wurden doch beide Protokolle dem Beschwerdeführer nach Abschluss der jeweiligen Anhörung rückübersetzt. Bei dieser Gelegenheit bestätigte er jeweils, der Protokollinhalt entspreche seinen Äusserungen. Dementsprechend muss sich der Beschwerdeführer bei seinen Erklärungen, wie sie in die Protokolle Eingang fanden, behaften lassen. Zudem ist dem Umstand Rechnung zu tragen, dass es sich beim Beschwerdeführer um eine Person mit überdurchschnittlicher formaler Bildung handelt, schloss er doch eigenen Angaben zufolge die gymnasiale Ausbildung erfolgreich ab. Es ist dementsprechend nicht einzusehen, weshalb er nach eigener Angabe bestimmte wesentliche Daten seines Lebenslaufs wie etwa den Zeitpunkt seines Wegzugs von Kabul schriftlich sollte notieren müssen, um sich daran zu erinnern (A27/20 F34 S. 4). Vielmehr drängt sich angesichts derartiger Bemerkungen der Eindruck auf, der Beschwerdeführer habe bei seinen Schilderungen nicht auf Erinnerungen an tatsächliche Begebenheiten zurückgreifen können. Wer in Wirklichkeit "regelrecht vom Tod verfolgt" wird, wie der Beschwerdeführer beteuert (A1/12 Ziff. 15 S. 7), dürfte dies im Allgemeinen als belastende Erinnerung empfinden. In den Vorbringen des Beschwerdeführers fehlt indessen dieser Bezug zur Wirklichkeit, hätte er doch sonst bei der BzP nicht von einer sehr langen Autofahrt gesprochen (A1/12 Ziff. 15 S. 7), während demgegenüber anlässlich der Direktanhörung lediglich von einem Fussmarsch die Rede war (A27/20 F134 - F137). Angesichts der ebenso zahlreichen wie krassen Widersprüche wird in diesem Zusammenhang zur Vermeidung von Wiederholungen auf die zutreffenden Erwägungen der vorinstanzlichen Verfügung verwiesen. Auch das nachträglich eingereichte Dokument vom 3. Dezember 2009, das der Beschwerdeführer einem Kommandanten namens B._______ zugeschrieben haben möchte, vermag nicht zu einer veränderten Betrachtungsweise zu führen, zumal derartige Schreiben von irgendeiner beliebigen Person verfasst und abgestempelt werden können. Insbesondere der Inhalt des Schreibens lässt jedenfalls nicht den Eindruck aufkommen, ein hochrangiger Kommandant der Taliban sei tatsächlich der Aussteller dieses Schriftstücks. Dementsprechend hat der Beschwerdeführer auch keinen Anlass, für den Fall einer Rückkehr in den Heimatstaat begründete Furcht zu hegen. Bei dieser Sachlage erübrigen sich Abklärungen bei der schweizerischen Vertretung in Afghanistan zur Person von B._______ oder zur sogenannten Vorladung vor ein Militärgericht der Taliban, zumal derartige Beweiserhebungen nicht geeignet sind, die rechtliche Überzeugung des Gerichts zu ändern (siehe zur antizipierten Beweiswürdigung Entscheidungen und Mitteilungen der Schweizerischen Asylrekurskommission [EMARK] 2003 Nr. 13 E. 4c S. 84, Alfred Kölz/Isabelle Häner, Verwaltungsverfah­ren und Verwaltungsrechtspflege des Bundes, 2. Aufl., Zü­rich 1998, S. 39, Rz. 111 mit Hinweis auf BGE 122 V 162, 119 Ib 505 f.).</w:t>
      </w:r>
    </w:p>
    <w:p>
      <w:r>
        <w:rPr>
          <w:b/>
        </w:rPr>
        <w:t>E. 5.3</w:t>
      </w:r>
    </w:p>
    <w:p>
      <w:r>
        <w:t>Aufgrund der vorstehenden Erwägungen besteht kein Anlass, auf die weiteren Ausführungen in der Beschwerde und zusätzliche Beweismittel im Einzelnen einzu­gehen, weil sie am Ergebnis nichts ändern können. Ebenso wenig gibt es Anlass zur Erhebung weiterer Beweise. Unter Berück­sichtigung der gesamten Umstände folgt, dass der Beschwerdeführer kei­ne Gründe nach Art. 3 AsylG nachweisen oder glaubhaft machen konnte. Das Bundesamt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mit weiteren Hinweisen,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zumal auch der EGMR bereits in seinem Urteil vom 20. März 1991 i.S. Cruz Varas gegen Schweden (Beschwerde Nr. 46/1990/237307) entschieden hat, der Vollzug der "Ausweisung" von Personen, welche an einer posttraumatischen Belastungsstörung leiden beziehungsweise suizidgefährdet sind, verstosse grundsätzlich nicht gegen Art. 3 EMRK (vgl. a.a.O. E. 44, 45, 46, insbesondere 77 - 86). Die schweizerische Rechtsprechung steht im Einklang mit derjenigen der Strassburger Organe (siehe im Zusammenhang mit der Problematik der Suizidalität EMARK 2005 Nr. 23 E. 5.1 S. 212).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Gericht kommt in seinem Grundsatzurteil BVGE E-7625/2008 zu Afghanistan vom 16. Juni 2011 zum Schluss, dass in weiten Teilen von Afghanistan - ausser allenfalls in den Grossstädten (vgl. a.a.O. E. 9.9.2 f.) - eine derart schlechte Sicherheitslage und derart schwierige humanitäre Bedingungen bestehen, dass die Situation als existenzbedrohend im Sinne von Art. 83 Abs. 4 AuG zu qualifizieren ist.</w:t>
      </w:r>
    </w:p>
    <w:p>
      <w:r>
        <w:rPr>
          <w:b/>
        </w:rPr>
        <w:t>E. 7.4.2</w:t>
      </w:r>
    </w:p>
    <w:p>
      <w:r>
        <w:t>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qualifiziert werden. Solche Umstände könnten grundsätzlich namentlich dann gegeben sein, wenn es sich beim Rückkehrer um einen jungen, gesunden Mann handelt. Angesichts der im obgenannten Urteil aufgezeigten konstanten Verschlechterung der Lage über die vergangenen Jahre hinweg und der auch in Kabul schwierigen Situation versteht es sich aber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Rückkehres als tragfähig er­weist. Ohne Unterstützung durch Familie oder Bekannte würden die schwierigen Lebensverhältnisse auch in Kabul unweigerlich in eine exis­tenzielle beziehungsweise lebensbedrohende Situation führen.</w:t>
      </w:r>
    </w:p>
    <w:p>
      <w:r>
        <w:rPr>
          <w:b/>
        </w:rPr>
        <w:t>E. 7.4.3</w:t>
      </w:r>
    </w:p>
    <w:p>
      <w:r>
        <w:t>Wie sich aus den Aussagen des Beschwerdeführers ergibt, lebte dieser von Geburt an bis zur Ausreise aus dem Heimatstaat grossmehrheitlich, d.h. mehr als zwanzig Jahre, in Kabul. Er hat dort insbesondere eine gymnasiale, insgesamt zwölfjährige Ausbildung erfolgreich abgeschlossen und sich anschliessend für die Universitätsaufnahmeprüfung vorbereitet (A1/12 Ziff. 8 S. 3). Gleichzeitig blickt er auf mehrjährige berufliche Erfahrung als Kalligraph, Baumaler, Sanitärinstallateur und Schneider zurück, weshalb er dank seiner Bildung und praktischen Berufserfahrung in der Lage sein müsste, sich nach seiner Rückkehr in Kabul eine neue Existenz aufzubauen. Wie bereits oben erwähnt, setzt die Bejahung einer zumutbaren inner­staatlichen Auf­enthaltsalternative in Kabul insbesondere die dortige Existenz eines tragfähigen Beziehungsnetzes sowie eine gesicherte Wohnsituation voraus. Wie sich in diesem Zusammenhang aus den Akten ergibt, leben mehrere Schwestern in Kabul (A1/12 Ziff. 12 S. 4), weshalb in casu von einer gesicherten Wohnsituation auszugehen ist. In der Heimat des Beschwerdeführers nimmt die Bedeu­tung der Fa­milie nämlich einen weitaus grösseren Raum als in Mitteleu­ropa ein, geht über die bei uns übliche Kernfamilie hinaus und bedeutet un­ter anderem, dass man sich auch für Familienangehörige, die über die nächste Ver­wandtschaft hinausgehen, verpflichtet fühlt. Hinzu kommt, dass er einen Bruder in der Schweiz hat, der ihn gegebenenfalls ebenfalls unterstützen kann, beispielsweise mit Geldspenden und - soweit notwendig - Medikamentenlieferungen. Dementsprechend droht auf absehbare Zeit grundsätzlich keine existenzielle Notlage. Getrübt werden die objektiv guten Aussichten des - physisch gesunden - Beschwerdeführers lediglich durch seinen psychischen Gesundheitszustand. Indessen sind auch die im Zeugnis vom 15. April 2010 eines Arztes für Allgemeine Medizin bzw. Facharztes FMH Psychiatrie und Psychotherapie aufgelisteten Krankheiten in Kabul behandelbar, gibt es doch dort neben dem Mental Health Hospital vier Zentren (Khair Khana, Central Polyclinic, Rahman Mina, Arzan Qeemat), die Konsultationen und Heimbesuche anbieten sowie sieben Zentren der Caritas, in denen Trauma-Behandlung angeboten wird (vgl. Alexandra Geiser, Schweizerische Flüchtlingshilfe [SFH], Afghanistan: Behandlung von Trauma in Kabul, Auskunft der SFH-Länderanalyse, Bern 11. März 2009, S. 3). Man darf davon ausgehen, dass die dort tätigen Therapeuten die im obgenannten Arztzeugnis als wichtig erkannten, fundierten Kenntnisse in Bezug auf den kulturellen, religiösen Hintergrund des Patienten besitzen. Für den Beschwerdeführer ergibt sich bei einer Behandlung im Heimatstaat insofern ein gewichtiger therapeutischer Vorteil, als er einem afghanischen Arzt keine Ausführungen zu machen braucht, die bei genauerer Betrachtung einen Bezug lediglich zum hiesigen Asylverfahren, nicht aber zur eigenen Lebensgeschichte erkennen lassen. Dementsprechend kann er sich im Rahmen der Behandlung auf seine tatsächlichen psychischen Probleme konzentrieren. Zu diesem Zweck kann er im Übrigen auch medizinische Rückkehrhilfe nach Art. 93 Abs. 1 Bst. d AsylG in Anspruch nehmen. In gesteigertem Masse gilt dies für den Fall akuter Suizidalität, sofern sie stationär behandelt werden muss. In solchen Fällen haben die Behörden der Suizidalität mit einer begleiteten Ausschaffung Rechnung zu tragen.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Verfahrenskosten grundsätzlich dem Beschwerdeführer aufzuerlegen (Art. 63 VwVG). Diesem ist jedoch mit Zwischenverfügung des Bundesverwaltungsgerichts vom 19. Januar 2010 die unentgeltliche Prozessführung unter der Voraussetzung des Nachreichens einer Fürsorgebestätigung gewährt worden; diese Bedingung hat er erfüllt. Der Beschwerdeführer ist des Weiteren nach wie vor nicht erwerbstätig, weshalb auf die Auferlegung der Kosten zu verzichten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