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D-2679/2024 vom 23. Oktober 2024</w:t>
      </w:r>
    </w:p>
    <w:p>
      <w:r>
        <w:t>Bundesverwaltungsgericht, 2024-10-23, IT</w:t>
      </w:r>
    </w:p>
    <w:p>
      <w:r>
        <w:rPr>
          <w:b/>
        </w:rPr>
        <w:t xml:space="preserve">Quelle: </w:t>
      </w:r>
      <w:r>
        <w:t>https://mcp.opencaselaw.ch/entscheid/bvger_D-2679_2024</w:t>
      </w:r>
    </w:p>
    <w:p>
      <w:r>
        <w:t>FR: TAF D-2679/2024 du 23 octobre 2024</w:t>
      </w:r>
    </w:p>
    <w:p>
      <w:r>
        <w:t>IT: TAF D-2679/2024 del 23 ottobre 2024</w:t>
      </w:r>
    </w:p>
    <w:p>
      <w:pPr>
        <w:pStyle w:val="Heading2"/>
      </w:pPr>
      <w:r>
        <w:t>Regeste</w:t>
      </w:r>
    </w:p>
    <w:p>
      <w:r>
        <w:t>Asilo e allontanamento (procedura celere)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versa- mento delle spese processuali e del gratuito patrocinio con nomina di De- rya Özgül quale gratuito patrocinatore, è respinta.</w:t>
      </w:r>
    </w:p>
    <w:p>
      <w:r>
        <w:rPr>
          <w:b/>
        </w:rPr>
        <w:t>E. 3</w:t>
      </w:r>
    </w:p>
    <w:p>
      <w:r>
        <w:t>Le spese processuali di CHF 750.– sono poste a carico del ricorrente. Tale ammontare è prelevato sull’anticipo spese, del medesimo importo, versato dal ricorrente il 21 maggio 2024.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presidente del collegio: La cancelliera:</w:t>
      </w:r>
    </w:p>
    <w:p>
      <w:r>
        <w:t>Manuel Borla Ambra Antognoli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