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D-2679/2011 vom 20. Mai 2011</w:t>
      </w:r>
    </w:p>
    <w:p>
      <w:r>
        <w:t>Bundesverwaltungsgericht, 2011-05-20, DE</w:t>
      </w:r>
    </w:p>
    <w:p>
      <w:r>
        <w:rPr>
          <w:b/>
        </w:rPr>
        <w:t xml:space="preserve">Quelle: </w:t>
      </w:r>
      <w:r>
        <w:t>https://mcp.opencaselaw.ch/entscheid/bvger_D-2679_2011</w:t>
      </w:r>
    </w:p>
    <w:p>
      <w:r>
        <w:t>FR: TAF D-2679/2011 du 20 mai 2011</w:t>
      </w:r>
    </w:p>
    <w:p>
      <w:r>
        <w:t>IT: TAF D-2679/2011 del 20 maggio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in casu nicht vor. Das Bundesverwaltungsgericht entscheidet demnach endgültig.</w:t>
      </w:r>
    </w:p>
    <w:p>
      <w:r>
        <w:rPr>
          <w:b/>
        </w:rPr>
        <w:t>E. 1.2</w:t>
      </w:r>
    </w:p>
    <w:p>
      <w:r>
        <w:t>Die Beschwerde ist frist- und formgerecht eingereicht. Die Beschwerdeführer sind durch die angefochtene Verfügung besonders berührt und haben ein schutzwürdiges Interesse an deren Aufhebung beziehungsweise Änderung. Sie sind daher zur Einreichung der Beschwerde legitimiert (Art. 108 AsylG sowie Art. 105 AsylG i.V.m. Art. 37 VGG und Art. 48 Abs. 1 und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Über offensichtlich begründete Beschwerden wird in einzelrichterlicher Zuständigkeit mit Zustimmung eines zweiten Richters beziehungsweise einer zweiten Richterin entschieden (Art. 111 Bst. e AsylG). Vorliegend handelt es sich, wie nachfolgend aufgezeigt, um eine solche, weshalb der Beschwerdeentscheid nur summarisch zu begründen ist (Art. 111a Abs. 2 AsylG). Gestützt auf Art. 111a Abs. 1 AsylG wurde auf die Durchführung eines Schriftenwechsels verzichtet.</w:t>
      </w:r>
    </w:p>
    <w:p>
      <w:r>
        <w:rPr>
          <w:b/>
        </w:rPr>
        <w:t>E. 2.1</w:t>
      </w:r>
    </w:p>
    <w:p>
      <w:r>
        <w:t>Gemäss Art. 19 AsylG kann ein Asylgesuch im Ausland bei einer schweizerischen Vertretung gestellt werden, welche es mit einem Bericht an das Bundesamt überweist (Art. 20 Abs. 1 AsylG). 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Das Bundes-verwaltungsgericht hat in Auslegung dieser Bestimmungen in BVGE 2007/30 erkannt, dass sich die Unmöglichkeit einer Befragung aus organisatorischen oder kapazitätsmässigen Gründen bei der jeweiligen Vertretung, aus faktischen Hindernissen im betreffenden Land oder aus bei der asylsuchenden Person liegenden persönlichen Gründen ergeben kann (vgl. BVGE, a.a.O., E. 5.2 und 5.3). Da die Anhörung der Sachverhaltserstellung sowie der Gewährung des rechtlichen Gehörs dient (vgl. BVGE, a.a.O., E. 5.5), ist die asylsuchende Person bei gegebener Unmöglichkeit einer Anhörung unter Hinweis auf ihre Mitwirkungspflicht in einem individualisierten Schreiben mittels konkreter Fragen aufzufordern, ihre Asylgründe schriftlich festzuhalten; ein standardisiertes Schreiben vermag diesen Anforderungen damit in aller Regel nicht zu genügen (BVGE, a.a.O., E. 5.4). Allerdings kann sich eine Befragung beziehungsweise eine schriftliche Sachverhaltsabklärung erübrigen, wenn der Sachverhalt bereits aufgrund des eingereichten Asylgesuchs als entscheidreif erstellt erscheint; der asylsuchenden Person ist aber diesfalls immerhin im Sinne des rechtlichen Gehörs die Gelegenheit zu geben, sich vor dem Entscheid zumindest schriftlich zu äussern (BVGE, a.a.O., E. 5.7). Sodann ist das Bundesamt in jedem Fall gehalten, das Absehen von einer Befragung in der Verfügung über das Asylgesuch zu begründen (BVGE, a.a.O., E. 5.6 sowie 5.7).</w:t>
      </w:r>
    </w:p>
    <w:p>
      <w:r>
        <w:rPr>
          <w:b/>
        </w:rPr>
        <w:t>E. 2.2</w:t>
      </w:r>
    </w:p>
    <w:p>
      <w:r>
        <w:t>In casu wurde durch die schweizerische Vertretung in Addis Abeba keine Befragung von B._______ und C._______ zu ihrem Asylgesuch vom 6. September 2010 durchgeführt. Die Vorinstanz begründete den Verzicht auf eine Befragung der Beschwerdeführerinnen B._______ und C._______ damit, dass die Schweizer Vertretung in Addis Abeba aufgrund des begrenzten Personalbestandes sowie fehlender Voraussetzungen im sicherheitstechnischen und räumlichen Bereich nicht in der Lage sei, Befragungen durchzuführen. Vorliegend erübrige sich jedoch eine solche Befragung, da das schriftliche Asylgesuch bereits alle entscheidrelevanten Informationen enthalte, mithin gestützt auf die Aktenlage die Gefährdungssituation der Beschwerdeführerinnen B._______ und C._______ abschliessend beurteilt werden könne. Selbst wenn diese Auffassung zutreffend wäre - dies kann erst nach der Gewährung des rechtlichen Gehörs zuverlässig beurteilt werden -, hätte das BFM den Beschwerdeführerinnen unter den gegebenen Umständen gemäss Rechtsprechung des Bundesverwaltungsgerichts vor dem Erlass des Entscheides das rechtliche Gehör gewähren müssen (vgl. vorstehend E. 2.1), was indessen unterlassen wurde. Überdies ist dem Gesuch vom 6. September 2010 zu entnehmen, dass diesem eine von B._______ an A._______ per Telefon mündlich übermittelte Schilderung der Geschehnisse zugrundeliege. Mit Hilfe eines Dolmetschers sei diese Schilderung übersetzt und nachfolgend zu Papier gebracht worden. In zutreffender Weise wird in der Gesuchseingabe danach der Schluss gezogen, dass aufgrund der langen Informationskette gewisse Ungenauigkeiten zwischen dem im Gesuch dargelegten Sachverhalt und den von der Beschwerdeführerin B._______ erlebten Tatsachen bestehen könnten. Die Einräumung des rechtlichen Gehörs vermöchte somit nicht nur die bereits vorliegenden Informationen zu ergänzen, sondern auch allenfalls aufgetretene Unstimmigkeiten oder Ungenauigkeiten im bisherigen Sachverhaltsvortrag zu beseitigen.</w:t>
      </w:r>
    </w:p>
    <w:p>
      <w:r>
        <w:rPr>
          <w:b/>
        </w:rPr>
        <w:t>E. 2.3</w:t>
      </w:r>
    </w:p>
    <w:p>
      <w:r>
        <w:t>Aufgrund des oben Gesagten ergibt sich, dass die Vorinstanz den Beschwerdeführerinnen zu Unrecht das gemäss Rechtsprechung zwingend zu gewährende rechtliche Gehör nicht gewährte. Dieser Mangel ist auf Beschwerdeebene nicht zu heilen, zumal es nicht Sinn und Zweck des Beschwerdeverfahrens vor dem Bundesverwaltungsgericht ist, während dieses Verfahrens von der Vorinstanz unterlassene Handlungen nachzuholen.</w:t>
      </w:r>
    </w:p>
    <w:p>
      <w:r>
        <w:rPr>
          <w:b/>
        </w:rPr>
        <w:t>E. 3</w:t>
      </w:r>
    </w:p>
    <w:p>
      <w:r>
        <w:t>Die Feststellung, dass das BFM den Beschwerdeführerinnen B._______ und C._______ das rechtliche Gehör nicht gewährte, führt indessen nicht dazu, dass ihnen die Einreise in die Schweiz bereits aus diesem Grund zu bewilligen wäre. Aus dem Umstand, dass sie bisher nicht befragt - respektive ihnen das rechtliche Gehör nicht gewährt - wurde, kann nicht geschlossen werden, dass ihnen zur persönlichen Anhörung oder der Gewährung des rechtlichen Gehörs die Einreise in die Schweiz bewilligt werden müsste. Angesichts der Aktenlage bestehen nicht genügend konkrete Anhaltspunkte für die Annahme, ihnen wäre ein Verbleib in D._______ für die Dauer der weiteren, noch erforderlichen Verfahrenshandlungen nicht zumutbar im Sinne von Art. 20 Abs. 2 AsylG.</w:t>
      </w:r>
    </w:p>
    <w:p>
      <w:r>
        <w:rPr>
          <w:b/>
        </w:rPr>
        <w:t>E. 4.1</w:t>
      </w:r>
    </w:p>
    <w:p>
      <w:r>
        <w:t>Zusammenfassend ist festzuhalten, dass die Vorinstanz den An-spruch der Beschwerdeführerinnen auf rechtliches Gehör verletzt hat. Da eine Heilung dieses Verfahrensmangels im Rahmen des Beschwerde-verfahrens nicht möglich erscheint und jedenfalls nicht angebracht wäre, ist der angefochtene Entscheid aufzuheben und zur Gewährung des rechtlichen Gehörs sowie zur Neubeurteilung im Sinne der Erwägungen an die Vorinstanz zurückzuweisen.</w:t>
      </w:r>
    </w:p>
    <w:p>
      <w:r>
        <w:rPr>
          <w:b/>
        </w:rPr>
        <w:t>E. 4.2</w:t>
      </w:r>
    </w:p>
    <w:p>
      <w:r>
        <w:t>Nach dem Gesagten ist die Beschwerde gutzuheissen, die vorinstanzliche Verfügung vom 11. April 2011 aufzuheben und die Vorinstanz anzuweisen, den Beschwerdeführerinnen B._______ und C._______ das rechtliche Gehör zu gewähren, den rechtserheblichen Sachverhalt gegebenenfalls ergänzend vollständig festzustellen und in der Sache neu zu entscheiden.</w:t>
      </w:r>
    </w:p>
    <w:p>
      <w:r>
        <w:rPr>
          <w:b/>
        </w:rPr>
        <w:t>E. 5.1</w:t>
      </w:r>
    </w:p>
    <w:p>
      <w:r>
        <w:t>Bei diesem Ausgang des Verfahrens sind keine Kosten aufzuerlegen (Art. 63 Abs. 1 und 2 VwVG), weshalb sich das Gesuch um Gewährung der unentgeltlichen Prozessführung im Sinne von Art. 65 Abs. 1 VwVG als gegenstandslos erweist. Zudem ist mit dem Entscheid in der Hauptsache das Gesuch um Erlass des Kostenvorschusses hinfällig geworden.</w:t>
      </w:r>
    </w:p>
    <w:p>
      <w:r>
        <w:rPr>
          <w:b/>
        </w:rPr>
        <w:t>E. 5.2</w:t>
      </w:r>
    </w:p>
    <w:p>
      <w:r>
        <w:t>Da die Beschwerdeführer im Beschwerdeverfahren nicht anwaltlich vertreten wurden, ist nicht davon auszugehen, ihnen seien durch die selbstständige Beschwerdeführung verhältnismässig hohe Kosten erwachsen. Daher ist ihnen keine Parteientschädigung zuzusprechen (vgl. Art. 64 Abs. 1 VwVG sowie Art. 7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