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D-2674/2023 vom 5. April 2023</w:t>
      </w:r>
    </w:p>
    <w:p>
      <w:r>
        <w:t>Bundesverwaltungsgericht, 2023-04-05, DE</w:t>
      </w:r>
    </w:p>
    <w:p>
      <w:r>
        <w:rPr>
          <w:b/>
        </w:rPr>
        <w:t xml:space="preserve">Quelle: </w:t>
      </w:r>
      <w:r>
        <w:t>https://mcp.opencaselaw.ch/entscheid/bvger_D-2674_2023_d20230405</w:t>
      </w:r>
    </w:p>
    <w:p>
      <w:r>
        <w:t>FR: TAF D-2674/2023 du 5 avril 2023</w:t>
      </w:r>
    </w:p>
    <w:p>
      <w:r>
        <w:t>IT: TAF D-2674/2023 del 5 aprile 2023</w:t>
      </w:r>
    </w:p>
    <w:p>
      <w:pPr>
        <w:pStyle w:val="Heading2"/>
      </w:pPr>
      <w:r>
        <w:t>Regeste</w:t>
      </w:r>
    </w:p>
    <w:p>
      <w:r>
        <w:t>Asyl (ohne Wegweisungsvollzug) | Asyl (ohne Wegweisungsvollzug); Verfügung des SEM vom 5.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D-2674/2023 Seite 6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aus, die Vorbringen der Beschwerdeführerin hielten den Anforderungen an die Flüchtlingsei- genschaft gemäss Art. 3 AsylG nicht stand. Hinsichtlich des geltend ge- machten Verfolgung durch ihren Ehemann sei festzuhalten, dass die türki- schen Behörden grundsätzlich als schutzwillig und schutzfähig zu bezeich- nen seien. Dass die türkischen Behörden im vorliegenden Fall der ihnen auferlegten Schutzpflicht im Rahmen ihrer Möglichkeit nachgekommen seien, belege auch das Gerichtsurteil des (…) (…) vom (…) , demzufolge die Scheidung der Beschwerdeführerin mit ihrem damaligen Ehemann be- stätigt und ihr das Sorgerecht für die gemeinsame Tochter übertragen wor- den sei. Ausserdem ist ersichtlich, dass der Beschwerdeführerin der Zu- gang zu den Behörden offenstehe und sie sich auch zu wehren gewusst habe. Angesichts der als adäquat zu beurteilenden behördlichen Mass- nahme stehe fest, dass der türkische Staat seine sich aus dem Straf- und Zivilrecht ergebende Schutzpflicht erfüllt habe. Ausserdem sei ihrem Aus- sagen zu entnehmen, dass sie nach ihrem Wegzug aus (…) im (…) bis zu ihrer Ausreise (…) keinerlei weiteren Behelligungen durch ihren ehema- ligen Ehemann mehr ausgesetzt gewesen sei. Hinsichtlich der Anklage ge- gen die Beschwerdeführerin wegen Präsidentenbeleidigung sei festzuhal- ten, dass auch unter Berücksichtigung des Vorführbefehls keine beachtli- che Wahrscheinlichkeit bestehe, wonach sie in absehbarer Zeit flüchtlings- rechtlich relevanter Verfolgungsmassnahmen zu befürchten hätte. Perso- nen, welche wegen Präsidentenbeleidigung strafrechtlich verfolgt würden, würden in der Regel nicht in Untersuchungshaft versetzt. Auch sei vorlie- gend eine Verurteilung zu einer unbedingten Haftstrafe unwahrscheinlich, da die Beschwerdeführerin einerseits als strafrechtlich unbescholten gelte, andererseits auch nicht über ein ausgeprägtes politisches Profil verfüge. Daran vermöge ihr Engagement bei der HDP und IHP nicht zu ändern, da es sich um eine legale Partei beziehungsweise einen legalen Verein handle</w:t>
      </w:r>
    </w:p>
    <w:p>
      <w:r>
        <w:t>D-2674/2023 Seite 7 und die Beschwerdeführerin als einfaches Mitglied nicht in exponierter Stel- lung tätig gewesen sei.</w:t>
      </w:r>
    </w:p>
    <w:p>
      <w:r>
        <w:rPr>
          <w:b/>
        </w:rPr>
        <w:t>E. 4.2</w:t>
      </w:r>
    </w:p>
    <w:p>
      <w:r>
        <w:t>In der Beschwerdeschrift wird entgegnet, dass in der Anklageschrift der Oberstaatsanwaltschaft (…) vom (…) beantragt werde, dass die Be- schwerdeführerin wegen Präsidentenbeleidigung bestraft werden solle. Somit lägen entgegen der Meinung des SEM konkrete Hinweise einer ge- gebenen Straftat vor. Aufgrund des vorliegenden Festnahmebefehls be- stehe eine beachtliche Wahrscheinlichkeit, dass sie als bekanntes Mitglied der HDP bei der Einreise unter dem Vorwand der Terrorismusbekämpfung – wie zahlreiche andere Mitglieder der HDP – auf unbestimmte Zeit inhaf- tiert würde. Damit sei es ihr gelungen, eine relevante Verfolgungsgefahr darzutun. Ausserdem könne es bei häuslicher Gewalt vorkommen, dass die türkischen Behörden nicht angemessen handelten oder die Situation nicht genug ernst nähmen. Dies gelte umso mehr, wenn – wie vorliegend – politische Personen betroffen seien.</w:t>
      </w:r>
    </w:p>
    <w:p>
      <w:r>
        <w:rPr>
          <w:b/>
        </w:rPr>
        <w:t>E. 4.3</w:t>
      </w:r>
    </w:p>
    <w:p>
      <w:r>
        <w:t>In der Vernehmlassung weist das SEM daraufhin, die Beschwerdefüh- rerin dem SEM im Nachgang an den erfolgten Asylentscheid ein weiteres Beweismittel eingereicht habe. Es handle sich dabei um eine Mitteilung der Generalstaatsanwaltschaft (…) vom (…) . Darin werde erwähnt, dass ein Haftbefehl gegen die Beschwerdeführerin erlassen worden sei. Jedoch be- ziehe sich die genannte Mitteilung auf ein Verfahren mit der Nummer (…) , welches in keinem der von der Beschwerdeführerin in Sachen der gegen sie erhobenen Anklage wegen Präsidentenbeleidigung während des erst- instanzlichen Verfahrens verzeichnet sei. Entsprechend sei nicht ersicht- lich, auf welches Verfahren sich die besagte Mitteilung über den Haftbefehl beziehe. Im Übrigen verweist das SEM auf seine Erwägungen in der ange- fochtenen Verfügung vom 5. April 2023.</w:t>
      </w:r>
    </w:p>
    <w:p>
      <w:r>
        <w:rPr>
          <w:b/>
        </w:rPr>
        <w:t>E. 4.4</w:t>
      </w:r>
    </w:p>
    <w:p>
      <w:r>
        <w:t>Im Schreiben vom 25. November 2024, dem mehrere neue Beweismit- tel beigelegt waren, macht die Beschwerdeführerin geltend, die neuen Be- weismittel belegten eine umfassende und systematische Verfolgung durch die türkischen Behörden. Sie werde gezielt gesucht und müsse im Falle einer Rückkehr mit Repressalien rechnen. Die Dokumente untermauerten die Aktivität staatlicher Akteure, die weit über eine routinemässige Strafver- folgung hinausgehe. Es handle sich um eine gezielte Verfolgung aufgrund ihrer politischen Aktivitäten, insbesondere aufgrund ihrer Mitgliedschaft bei der HDP. Die systematischen Nachforschungen durch staatliche Stellen, einschliesslich (…) , (…) , (…) und (…) , zeigten die Ernsthaftigkeit der Bedrohung und die Absicht der türkischen Behörden, sie unter dem</w:t>
      </w:r>
    </w:p>
    <w:p>
      <w:r>
        <w:t>D-2674/2023 Seite 8 Vorwand der Terrorismusbekämpfung zu inhaftieren. In Verbindung mit der bestehenden Anklage und dem Haftbefehl stelle eine Rückkehr in die Tür- kei ein unkalkulierbares Risiko dar, das sowohl flüchtlingsrechtlich als auch menschenrechtlich relevant sei.</w:t>
      </w:r>
    </w:p>
    <w:p>
      <w:r>
        <w:rPr>
          <w:b/>
        </w:rPr>
        <w:t>E. 5.1</w:t>
      </w:r>
    </w:p>
    <w:p>
      <w:r>
        <w:t>Das Bundesverwaltungsgericht gelangt nach Prüfung der Akten zum Schluss, dass die Vorbringen der Beschwerdeführerin den Anforderungen an die Flüchtlingseigenschaft nicht standzuhalten vermögen. Zur Vermei- dung von Wiederholungen kann auf die ausführlichen und zutreffenden Ausführungen des SEM (vgl. angefochtene Verfügung S. 6 ff. und E. 4.1 vorstehend) verwiesen werden. Die Ausführungen in der Beschwerde- schrift sowie die neu eingereichten Beweismittel sind nicht geeignet, zu ei- ner anderen Beurteilung zu gelangen.</w:t>
      </w:r>
    </w:p>
    <w:p>
      <w:r>
        <w:rPr>
          <w:b/>
        </w:rPr>
        <w:t>E. 5.2</w:t>
      </w:r>
    </w:p>
    <w:p>
      <w:r>
        <w:t>Soweit die Beschwerdeführerin geltend macht, die Behörden böten ihr keinen ausreichenden Schutz vor ihrem ehemaligen Ehemann, ist Folgen- des festzuhalten: Hinsichtlich einer Verfolgung durch Drittpersonen geht das Bundesverwaltungsgericht in ständiger Rechtsprechung davon aus, dass die türkischen Behörden grundsätzlich willens und in der Lage sind, bei Behelligungen oder Übergriffen seitens privater Drittpersonen Schutz zu gewähren und eine funktionierende Schutzinfrastruktur zur Verfügung zu stellen (vgl. statt vieler: Urteil des BVGer D-5377/2024 vom 19. Novem- ber 2024 E. 7.3 m.w.H.). Fehlender Schutzwille oder mangelnde Schutzfä- higkeit des Staates kann nur dann angenommen werden, wenn im Einzel- fall konkrete Hinweise vorliegen, dass trotz entsprechender Gesuche kein effektiver Schutz geboten wird oder systemische Mängel bestehen, die den Zugang zu staatlichem Schutz faktisch verunmöglichen. Vorliegend ist je- doch festzuhalten, dass es der Beschwerdeführerin offenbar gelungen ist, eine Fernhalteverfügung gegen ihren ehemaligen Ehemann zu erwirken und sich erfolgreich von ihm scheiden zu lassen. Ausserdem gelang es ihr, dass ihr das alleinige Sorgerecht der Tochter übertragen wurde. Damit ist im vorliegenden Fall davon auszugehen, dass sowohl der Schutzwille der türkischen Behörden besteht, als auch der Beschwerdeführerin zugemutet werden kann, sich an diese zum Zwecke des Schutzes zu wenden. Der geltend gemachten Bedrohung durch den ehemaligen Ehemann kommt daher keine Asylrelevanz zu.</w:t>
      </w:r>
    </w:p>
    <w:p>
      <w:r>
        <w:rPr>
          <w:b/>
        </w:rPr>
        <w:t>E. 5.3</w:t>
      </w:r>
    </w:p>
    <w:p>
      <w:r>
        <w:t>Soweit die Beschwerdeführerin eine objektiv begründete Furcht vor zu- künftiger flüchtlingsrechtlicher Verfolgung aufgrund der laufender straf- rechtlicher Verfahren in der Türkei geltend macht, ist Folgendes</w:t>
      </w:r>
    </w:p>
    <w:p>
      <w:r>
        <w:t>D-2674/2023 Seite 9 festzuhalten: Die im vorinstanzlichen Verfahren eingereichten Dokumente, welche die Einleitung eines Strafverfahrens wegen Präsidentenbeleidigung belegen sollen, vermögen keine flüchtlingsrechtliche Verfolgung zu bele- gen. Wie das Bundesverwaltungsgericht im länderspezifischen Koordina- tionsentscheid E-4103/2024 vom 8. November 2024 (E. 8) festgehalten hat, begründet die blosse Hängigkeit eines entsprechenden Verfahrens – auch in Kombination mit anderen Vorwürfen – keine begründete Furcht vor flüchtlingsrechtlich relevanten Massnahmen mit beachtlicher Wahrschein- lichkeit. Im Zusammenhang mit dem Straftatbestand der Präsidentenbelei- dung festzuhalten, dass ein Grossteil der diesbezüglichen Gerichtsverfah- ren nicht in einer Verurteilung endet. Gemäss konstanter Rechtsprechung ist deshalb nicht grundsätzlich von einem asylrelevanten Politmalus aus- zugehen (vgl. ausführlich das Referenzurteil des BVGer E-4103/2024 vom</w:t>
      </w:r>
    </w:p>
    <w:p>
      <w:r>
        <w:rPr>
          <w:b/>
        </w:rPr>
        <w:t>E. 5.4</w:t>
      </w:r>
    </w:p>
    <w:p>
      <w:r>
        <w:t>Die im Beschwerdeverfahren nachgereichten Unterlagen vermögen an der rechtlichen Beurteilung nichts zu ändern. Es handelt sich dabei um ein Anhörungsprotokoll vom (…) sowie mehrere behördliche Schreiben. Auf- grund fehlender Sicherheitsmerkmale gelten entsprechende Dokumente grundsätzlich als leicht fälschbar und ihnen kommt daher von vornherein nur eine eingeschränkte Beweiskraft zu. Doch selbst bei angenommener Echtheit der Dokumente geht aus ihnen lediglich hervor, dass das (…) von (…) schriftliche Nachforschungen unternommen hat, um den Aufenthalt der Beschwerdeführerin zu ermitteln. Da die Beschwerdeführerin am (…) nicht zu ihrer Anhörung am besagten Gericht erschien, ist das Vorgehen der Nachforschungen als legitim im Rahmen eines rechtsstaatlichen Ver- fahrens zu betrachten. Insbesondere ergeben sich daraus keine Hinweise auf ein politisch motiviertes Verfolgungsinteresse der türkischen Behörden gegen die Beschwerdeführerin. Die eingereichten Unterlagen begründen somit keine flüchtlingsrechtlich relevante Gefährdung im Sinne von Art. 3 AsylG.</w:t>
      </w:r>
    </w:p>
    <w:p>
      <w:r>
        <w:t>D-2674/2023 Seite 10</w:t>
      </w:r>
    </w:p>
    <w:p>
      <w:r>
        <w:rPr>
          <w:b/>
        </w:rPr>
        <w:t>E. 5.5</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ernsthafte Nachteile im Sinne von Art. 3 Abs. 2 AsylG zu gewärtigen hätte. Demnach hat die Vorinstanz zu Recht die Flüchtlingseigenschaft verneint und das Asylgesuch abgelehnt. 6. 6.1 Lehnt das SEM das Asylgesuch ab oder tritt es darauf nicht ein, so verfügt es in der Regel die Wegweisung aus der Schweiz und ordnet den Vollzug an; es berücksichtigt dabei den Grundsatz der Einheit der Familie (Art. 44 AsylG). 6.2 Die Beschwerdeführerinnen verfügen insbesondere weder über eine ausländerrechtliche Aufenthaltsbewilligung noch über einen Anspruch auf Erteilung einer solchen. Die Wegweisung wurde demnach ebenfalls zu Recht angeordnet (vgl. BVGE 2013/37 E. 4.4; 2009/50 E. 9, je m.w.H.). 6.3 Nachdem das SEM die Beschwerdeführerinnen mit Verfügung vom 5. April 2023 wegen Unzulässigkeit des Wegweisungsvollzugs in der Schweiz vorläufig aufgenommen hat, erübrigen sich praxisgemäss weitere Erwägungen zur Zulässigkeit, Zumutbarkeit und Möglichkeit des Vollzugs der Wegweisung (vgl. BVGE 2011/7 E. 8; 2009/51 E. 5.4). 7. Aus diesen Erwägungen ergibt sich, dass die angefochtene Verfügung Bundesrecht nicht verletzt, den rechtserheblichen Sachverhalt richtig so- wie vollständig feststellt (Art. 106 Abs. 1 AsylG) und angemessen ist. Die Beschwerde ist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Nachdem das SEM die Beschwerdeführerinnen mit Verfügung vom 5. April 2023 wegen Unzulässigkeit des Wegweisungsvollzugs in der Schweiz vorläufig aufgenommen hat, erübrigen sich praxisgemäss weitere Erwägungen zur Zulässigkeit, Zumutbarkeit und Möglichkeit des Vollzugs der Wegweisung (vgl. BVGE 2011/7 E. 8; 2009/51 E. 5.4).</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8</w:t>
      </w:r>
    </w:p>
    <w:p>
      <w:r>
        <w:t>Bei diesem Ausgang des Verfahrens wären die Kosten den Beschwerde- führerinnen aufzuerlegen (Art. 63 Abs. 1 VwVG). Nachdem diesem mit Zwi- schenverfügung vom 16. Mai 2023 die unentgeltliche Prozessführung ge- mäss Art. 65 Abs. 1 VwVG gewährt wurde und aktuell nach wie vor von deren prozessualer Bedürftigkeit auszugehen ist, ist auf die Erhebung von Verfahrenskosten zu verzichten.</w:t>
      </w:r>
    </w:p>
    <w:p>
      <w:r>
        <w:t>(Dispositiv nächste Seite)</w:t>
      </w:r>
    </w:p>
    <w:p>
      <w:r>
        <w:t>D-2674/2023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