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D-2671/2012 vom 18. März 2014</w:t>
      </w:r>
    </w:p>
    <w:p>
      <w:r>
        <w:t>Bundesverwaltungsgericht, 2014-03-18, FR</w:t>
      </w:r>
    </w:p>
    <w:p>
      <w:r>
        <w:rPr>
          <w:b/>
        </w:rPr>
        <w:t xml:space="preserve">Quelle: </w:t>
      </w:r>
      <w:r>
        <w:t>https://mcp.opencaselaw.ch/entscheid/bvger_D-2671_2012</w:t>
      </w:r>
    </w:p>
    <w:p>
      <w:r>
        <w:t>FR: TAF D-2671/2012 du 18 mars 2014</w:t>
      </w:r>
    </w:p>
    <w:p>
      <w:r>
        <w:t>IT: TAF D-2671/2012 del 18 marzo 2014</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Présenté dans la forme et les délais prescrits par la loi, le recours est recevable (art. 48 al. 1 et 52 al. 1 PA et 108 al. 1 LAsi).</w:t>
      </w:r>
    </w:p>
    <w:p>
      <w:r>
        <w:rPr>
          <w:b/>
        </w:rPr>
        <w:t>E. 2.1</w:t>
      </w:r>
    </w:p>
    <w:p>
      <w:r>
        <w:t>Le Tribunal examine d'office l'application du droit fédéral et les constatations de fait (art. 106 al. 1 LAsi) sans être lié par les motifs invoqués par les parties (art. 62 al. 4 PA par renvoi des art. 6 LAsi et 37 LTAF) ou par les considérants de la décision attaquée (ATAF 2009/57 consid. 1.2 p. 798, et réf. cit.). Il peut ainsi admettre un recours pour un autre motif que ceux invoqués devant lui ou rejeter un recours en adoptant une argumentation différente de celle de l'autorité intimée (ATAF 2007/41 consid. 2 p. 529 s.).</w:t>
      </w:r>
    </w:p>
    <w:p>
      <w:r>
        <w:rPr>
          <w:b/>
        </w:rPr>
        <w:t>E. 2.2</w:t>
      </w:r>
    </w:p>
    <w:p>
      <w:r>
        <w:t>A l'instar de l'ODM, le Tribunal s'appuie sur la situation au moment de l'arrêt s'agissant de la crainte de persécution future ou de motifs d'empêchement à l'exécution du renvoi, que ceux-ci soient d'ordre juridique ou pratique (ATAF 2009/29 consid. 5.1 p. 376, ATAF 2008/12 consid. 5.2 p. 154 s., ATAF 2008/4 consid. 5.4 p. 38 s., et jurisp. cit.). Il prend ainsi en considération l'évolution de la situation intervenue depuis le dépôt de la demande d'asile.</w:t>
      </w:r>
    </w:p>
    <w:p>
      <w:r>
        <w:rPr>
          <w:b/>
        </w:rPr>
        <w:t>E. 3</w:t>
      </w:r>
    </w:p>
    <w:p>
      <w:r>
        <w:t>Dans le cas présent, les intéressés n'ont pas recouru contre la décision de l'ODM en tant qu'elle rejette leur demande d'asile, refuse de leur reconnaître la qualité de réfugié et prononce leur renvoi ; sur ces questions, la décision de l'office est dès lors entrée en force.</w:t>
      </w:r>
    </w:p>
    <w:p>
      <w:r>
        <w:rPr>
          <w:b/>
        </w:rPr>
        <w:t>E. 4</w:t>
      </w:r>
    </w:p>
    <w:p>
      <w:r>
        <w:t>L'exécution du renvoi est ordonnée lorsque le renvoi est possible, licite et raisonnablement exigible, faute quoi il y a lieu de prononcer une admission provisoire (cf. art. 83 LEtr, applicable par le renvoi de l'art. 44 LAsi). Les trois conditions posées par l'art. 83 al. 2 à 4 LEtr, empêchant l'exécution du renvoi (illicéité, inexigibilité et impossibilité) sont de nature alternative : il suffit que l'une d'elles soit réalisée pour que le renvoi soit inexécutable (cf. ATAF 2009/51 consid. 5.4). En l'espèce, c'est sur les questions de l'exigibilité de l'exécution du renvoi que le Tribunal entend porter son examen, unique élément d'ailleurs invoqué par les intéressés dans leur recours.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s., et jurisp. cit.).</w:t>
      </w:r>
    </w:p>
    <w:p>
      <w:r>
        <w:rPr>
          <w:b/>
        </w:rPr>
        <w:t>E. 5.2.1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par. 1, et jurisp. cit.).</w:t>
      </w:r>
    </w:p>
    <w:p>
      <w:r>
        <w:rPr>
          <w:b/>
        </w:rPr>
        <w:t>E. 5.2.2</w:t>
      </w:r>
    </w:p>
    <w:p>
      <w:r>
        <w:t>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par. 2, et jurisp. cit).</w:t>
      </w:r>
    </w:p>
    <w:p>
      <w:r>
        <w:rPr>
          <w:b/>
        </w:rPr>
        <w:t>E. 5.2.3</w:t>
      </w:r>
    </w:p>
    <w:p>
      <w:r>
        <w:t>S'agissant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 (cf. ATAF 2009/51 consid. 5.6, ATAF 2009/28 consid. 9.3.2 et jurisp. cit.).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(cf. ATAF 2009/51 ibid., ATAF 2009/28 ibid., et jurisp. cit.).</w:t>
      </w:r>
    </w:p>
    <w:p>
      <w:r>
        <w:rPr>
          <w:b/>
        </w:rPr>
        <w:t>E. 6.1</w:t>
      </w:r>
    </w:p>
    <w:p>
      <w:r>
        <w:t>En l'espèce, C._______ souffre d'un craniopharyngiome kystique et charnu en position classique supra-sellaire, opéré en Suisse le 28 octobre 2010, puis traité par radiothérapie du 20 décembre 2010 au 1er février 2011. Selon le dernier certificat médical du 12 décembre 2013 (cf. let. L des faits), l'évolution clinique est marquée par une fatigue très importante. Il y a toujours une prise pondérale exagérée, suivie par des spécialistes en endocrinologie. L'IRM cérébrale pratiquée le 11 septembre 2013 montre une stabilité de la composante charnue du résidu tumoral mais une augmentation d'une des composantes kystiques. La situation n'est donc pas cliniquement stable et un nouveau contrôle par IRM était prévu dans le courant du mois de janvier 2014 associé, si la progression kystique se confirme, à un examen ophtalmique anticipé. En cas de détérioration, une nouvelle intervention chirurgicale pourrait être proposée. C._______ souffre également d'un panhypopituitarisme, secondaire à la tumeur, aux chirurgies et à la radiothérapie. Dès lors, il doit prendre une substitution hormonale quotidienne, et ce probablement à vie (actuellement sous forme de Minirin, Eltroxin et hydrocortisone). Le dosage de ces hormones exige une stricte surveillance et une réactivité médicale immédiate en cas de complication. En particulier, le dosage de l'hydrocortisone doit pouvoir être modifié en urgence en cas d'état fébrile ou d'infection, tout état infectieux pouvant provoquer "une décompensation endocrinienne gravissime". Le risque encouru en cas de mauvais dosage hormonal est qualifié de "vital" (cf. en particulier rapports médicaux du 13 juillet et du 28 novembre 2013). Au vu des affections physiques, il doit bénéficier d'un suivi médical multidisciplinaire - avec l'intervention de spécialistes en endocrinologie, oncologie, ophtalmologie, pédiatrie, radiologie ou neurochirurgie - et d'un traitement médicamenteux régulier, probablement à vie, sans quoi son état de santé risquerait de se dégrader au point de conduire même à une mise en danger concrète de sa vie. Il y aura dès lors lieu d'examiner s'il existe au Kosovo des structures médicales appropriées permettant de prendre en charge ces troubles (cf. consid. 7).</w:t>
      </w:r>
    </w:p>
    <w:p>
      <w:r>
        <w:rPr>
          <w:b/>
        </w:rPr>
        <w:t>E. 6.2</w:t>
      </w:r>
    </w:p>
    <w:p>
      <w:r>
        <w:t>S'agissant du suivi psychothérapeutique et des autres mesures d'accompagnement (de nature paramédicale, scolaire et/ou sociale) dont bénéficie C._______, force est de constater que même s'il est hautement souhaitable au regard du développement futur de l'enfant, cet encadrement ne saurait être qualifié de soins essentiels, au sens défini par la jurisprudence (cf. consid. 5.2). En effet, dit encadrement n'est pas impérativement nécessaire pour empêcher une dégradation très importante, rapide et certaine de l'état santé psychique (ou même physique) de C._______, au sens défini ci-avant, même s'il ne devait pas être disponible - en tout ou partie - au Kosovo. Il en va de même du suivi psychothérapeutique dont bénéficie sa mère (cf. let. M des faits).</w:t>
      </w:r>
    </w:p>
    <w:p>
      <w:r>
        <w:rPr>
          <w:b/>
        </w:rPr>
        <w:t>E. 6.3</w:t>
      </w:r>
    </w:p>
    <w:p>
      <w:r>
        <w:t>Ceci dit, le Tribunal tiendra compte des faits susmentionnés dans le cadre de la pondération de l'ensemble des éléments ayant trait à l'examen de l'exécution du renvoi, en particulier au regard d'éventuelles difficultés de financement des soins (cf. consid. 8) et sous l'angle du bien de l'enfant (cf. consid. 9).</w:t>
      </w:r>
    </w:p>
    <w:p>
      <w:r>
        <w:rPr>
          <w:b/>
        </w:rPr>
        <w:t>E. 7</w:t>
      </w:r>
    </w:p>
    <w:p>
      <w:r>
        <w:t>Il convient maintenant d'examiner s'il existe au Kosovo des structures médicales appropriées permettant de prendre en charge les affections physiques de C._______.</w:t>
      </w:r>
    </w:p>
    <w:p>
      <w:r>
        <w:rPr>
          <w:b/>
        </w:rPr>
        <w:t>E. 7.1</w:t>
      </w:r>
    </w:p>
    <w:p>
      <w:r>
        <w:t>En l'espèce, les problèmes de santé dont il souffre sont multiples et importants. Il nécessite une surveillance médicale multidisciplinaire régulière ainsi que divers contrôles supplémentaires périodiques, afin d'éviter des risques de récidive de la tumeur et adapter rapidement son traitement hormonal en cas de complication. Contrairement à la position défendue par l'ODM, la tumeur dont cet enfant est atteint n'est pas cliniquement stable. Lors des deux derniers contrôles du 12 juin et 11 septembre 2013, il a à chaque fois été décelée une progression des composantes kystiques de cette tumeur (cf. rapports médicaux du 16 juillet et 12 décembre 2013), qui pourrait, dans le futur, nécessiter une nouvelle intervention chirurgicale.</w:t>
      </w:r>
    </w:p>
    <w:p>
      <w:r>
        <w:rPr>
          <w:b/>
        </w:rPr>
        <w:t>E. 7.2</w:t>
      </w:r>
    </w:p>
    <w:p>
      <w:r>
        <w:t>Selon le récent rapport de l'Ambassade (cf. let. J et N des faits), une intervention chirurgicale peut être effectuée à bref délai au service de neurochirurgie de l'hôpital universitaire de Pristina, où d'autres patients de différents âges souffrant d'un craniopharyngiome ont été opérés avec succès. Conformément aux informations recueillies auprès d'un spécialiste en endocrinologie pédiatrique, un suivi multidisciplinaire peut aussi être offert pour autant que le patient se trouve en traitement stationnaire, d'autres personnes souffrant d'un craniopharyngiome ayant déjà été suivies et traitées. Une radiothérapie est aussi accessible, pour autant qu'une demande adressée au directeur de l'institut d'oncologie de l'hôpital universitaire de Pristina soit agréée par une commission médicale composée de trois membres. Une IRM est en principe possible dans le même hôpital ; l'appareil nécessaire ne fonctionnant toutefois souvent pas, les patients sont dans ce cas priés d'effectuer une IRM dans le secteur privé, pour un coût de 150-250 euros. Les examens hormonaux nécessaires doivent aussi être effectués dans le secteur privé, pour une somme de 30-50 euros. Selon le spécialiste en endocrinologie précité, la clinique pédiatrique ne dispose pas toujours des médicaments nécessaires (ou de substituts), l'approvisionnement par le ministère de la santé n'étant pas toujours assuré ; en cas de besoin, les patient doivent se procurer les préparations non disponibles à la clinique, où elles sont gratuites, ou dans des pharmacies, où ils doivent les payer eux-mêmes. Si un traitement doit être effectué à l'étranger, il faut déposer une requête (où doivent aussi figurer en particulier les coûts présumés) auprès d'une commission médicale de l'Hôpital universitaire de Pristina ; si celle-ci émet un avis favorable, dite requête est transmise au ministère de la santé, qui l'examine, notamment sous l'angle des coûts, puis rend une décision quant au montant de la contribution financière allouée.</w:t>
      </w:r>
    </w:p>
    <w:p>
      <w:r>
        <w:rPr>
          <w:b/>
        </w:rPr>
        <w:t>E. 7.3</w:t>
      </w:r>
    </w:p>
    <w:p>
      <w:r>
        <w:t>Vu ce qui précède, le Kosovo dispose à l'heure actuelle des infrastructures médicales et du personnel spécialisés ainsi que des médicaments nécessaires pour assurer, aussi en cas d'urgence, le suivi thérapeutique minimal suffisant, au sens de la jurisprudence précitée (cf. consid. 5.2), même en tenant compte du fait que celui-ci n'atteint pas le standard élevé que l'on trouve en Suisse.</w:t>
      </w:r>
    </w:p>
    <w:p>
      <w:r>
        <w:rPr>
          <w:b/>
        </w:rPr>
        <w:t>E. 8</w:t>
      </w:r>
    </w:p>
    <w:p>
      <w:r>
        <w:t>Il s'agit à présent de déterminer si le financement des soins nécessaires peut être assuré en cas de renvoi.</w:t>
      </w:r>
    </w:p>
    <w:p>
      <w:r>
        <w:rPr>
          <w:b/>
        </w:rPr>
        <w:t>E. 8.1</w:t>
      </w:r>
    </w:p>
    <w:p>
      <w:r>
        <w:t>Le Kosovo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quinze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parfois amenés à payer une partie des frais générés, voire leur intégralité (cf. ATAF 2011/50 consid. 8.8.2 par. 1, analyse qui garde son actualité ; cf. également Internationale Organisation für Migration [IOM], Länderinformationsblatt Kosovo (Juni 2013), pt. V 2 p. 34 s., ainsi que Commission de l'immigration et du statut de réfugié du Canada, Kosovo : Situation of single women in Pristina, including their ability to access employment, housing, and social services; whether Catholic Albanian women would face particular challenges accessing housing, employment and social services when relocating to Pristina from a different area of Kosovo [KOS104350.E], 8 April 2013, pt. 2.3, et. réf. cit.).</w:t>
      </w:r>
    </w:p>
    <w:p>
      <w:r>
        <w:rPr>
          <w:b/>
        </w:rPr>
        <w:t>E. 8.2</w:t>
      </w:r>
    </w:p>
    <w:p>
      <w:r>
        <w:t>Quand bien même C._______, qui est âgé de moins de quinze ans devrait, en théorie, pouvoir bénéficier des traitements gratuits dans les institutions publiques, il est peu vraisemblable, au vu de ce qui précède (cf. consid. 7.2 et 8.1), que sa famille ne soit pas obligée d'assurer une part notable du financement - certainement onéreux - des prestations médicales et des médicaments nécessaires, étant rappelé qu'il faut s'attendre à d'autres frais additionnels en rapport avec un éventuel suivi psychothérapeutique de l'enfant (et de sa mère), auxquels s'ajoutent encore ceux d'autres mesures d'accompagnement (cf. notamment consid. 6.2 ci-avant et consid. 9.1 ci-après). Or, selon les recherches effectuées au Kosovo, ses père et mère n'ont plus de ressources financières importantes. Dans ce contexte, le salaire de 240 euros que gagnait A._______ avant son départ, à supposer qu'un tel revenu puisse être maintenu au retour, ne suffirait certainement pas ; il n'est en outre nullement assuré qu'ils puissent compter, en cas de besoin, sur une aide pécuniaire suffisante de la part de leurs familles respectives (cf. p. 1 in fine, p. 2 par. 2 et p. 3 pt. 5 du rapport de l'Ambassade). Dans ces conditions, les intéressés devront faire face à d'importantes difficultés pour trouver les moyens permettant en particulier de financer l'ensemble des traitements nécessaires au suivi de l'enfant. Certes, ils auraient la possibilité de solliciter de l'ODM une aide au retour pour motifs médicaux (cf. art. 73 ss de l'ordonnance 2 sur l'asile relative au financement [OA 2, RS 142.312]). Toutefois, celle-ci n'est versée que pour une durée limitée (six mois) et ne garantit dès lors nullement que C._______ puisse bénéficier du suivi de très longue durée dont il a besoin.</w:t>
      </w:r>
    </w:p>
    <w:p>
      <w:r>
        <w:rPr>
          <w:b/>
        </w:rPr>
        <w:t>E. 9</w:t>
      </w:r>
    </w:p>
    <w:p>
      <w:r>
        <w:t>Enfin, élément décisif en l'occurrence, l'exécution du renvoi ne serait pas compatible avec le principe de l'intérêt supérieur de l'enfant, tel que consacré à l'art. 3 al. 1 CDE. En effet, C._______ réside avec ses parents en Suisse depuis trois ans et demi, la durée de la présente procédure d'asile ne pouvant leur être reprochée. Outre le suivi médical multidisciplinaire dont il a besoin depuis son arrivée en Suisse en raison de ses affections physiques, il y bénéficie aussi de diverses autres mesures d'encadrement étroites. Il suit en particulier un traitement psychothérapeutique régulier depuis avril 2011. Souffrant de sévères troubles du langage oral et de sévères difficultés d'entrée dans l'apprentissage du langage écrit, ainsi qu'un important retard d'apprentissage scolaire (cf. rapport de suivi logopédique du 19 juillet 2013), il est aussi au bénéfice de mesures d'enseignement spécialisé et d'un suivi logopédique bihebdomaire depuis octobre 2012. Sa logopédiste a également fait état de troubles mnésiques antérogrades sur matériel verbal dont l'origine serait conséquentielle à la tumeur cérébrale et au traitement qui lui est associé. Elle a aussi précisé que cet enfant est malgré tout bien intégré dans son école et dans son quartier et qu'un renvoi au Kosovo aurait pour effet d'accentuer le retard d'apprentissage qu'il a déjà. En outre, du fait de sa maladie, il est également victime d'une surcharge pondérale non négligeable qu'il est important de surveiller pour éviter toute complication de son état de santé. Aussi, les affections physiques et psychiques importantes du prénommé, ainsi que les effets négatifs qu'elles ont eu sur son apprentissage, plaident en faveur de la poursuite d'un encadrement spécialisé lui permettant de s'adapter à la vie en société. Le renvoi de Suisse de C._______, où il a pu trouver un cadre de vie adéquat permettant de mieux faire front à sa situation difficile, aurait non seulement pour effet de le séparer du réseau social qu'il s'y est déjà constitué, mais le priverait aussi de l'encadrement médical, paramédical, social et éducationnel spécialisé, auquel il s'est progressivement accoutumé et avec lequel il a établi une relation de confiance, sans qu'il puisse espérer avoir accès à un encadrement analogue au Kosovo. En outre, le soutien qu'il pourrait attendre de ses parents et de ses autres proches vivant dans cet Etat ne contrebalancerait manifestement pas les nombreux inconvénients liés à son départ de Suisse.</w:t>
      </w:r>
    </w:p>
    <w:p>
      <w:r>
        <w:rPr>
          <w:b/>
        </w:rPr>
        <w:t>E. 10</w:t>
      </w:r>
    </w:p>
    <w:p>
      <w:r>
        <w:t>Ainsi, la conjonction des nombreux facteurs négatifs susmentionnés - et le principe de l'intérêt supérieur de l'enfant, qui doit être une considération primordiale lors de l'examen du renvoi - font obstacle à un retour au Kosovo. Au vu de la gravité des troubles précités, de leurs multiples effets sur la vie quotidienne de C._______ et de ses parents, une réadaptation à un nouvel environnement au Kosovo n'apparaît pas envisageable. Le bien de cet enfant, qui vit en Suisse depuis plus de trois ans et demi, où il a pu se construire un environnement favorable à la rémission de sa maladie et à une intégration réussie dans la société, plaide en faveur de l'admission provisoire.</w:t>
      </w:r>
    </w:p>
    <w:p>
      <w:r>
        <w:rPr>
          <w:b/>
        </w:rPr>
        <w:t>E. 11</w:t>
      </w:r>
    </w:p>
    <w:p>
      <w:r>
        <w:t>En conséquence, l'intérêt privé de C._______, en tant qu'enfant, à pouvoir demeurer en Suisse l'emporte sur celui, public, de la Suisse à le renvoyer dans son pays d'origine. L'exécution du renvoi de l'intéressé n'apparaît pas raisonnablement exigible. L'art. 44 LAsi, qui garantit le respect de l'unité de la famille en ce qui concerne le principe et l'exécution du renvoi, implique que l'admission provisoire d'un étranger conduit - en règle générale - à l'extension de cette mesure aux autres membres de sa famille, en l'absence de motifs de nature à justifier une exception à cette règle (cf. Jurisprudence et informations de la Commission suisse de recours en matière d'asile [JICRA] 2004 n° 12 consid. 7 p. 77 s., et jurisp. cit.). En l'absence des conditions d'exclusion prévues par l'art. 83 al. 7 LEtr, A._______ et B._______ sont dés lors également mis au bénéfice de cette mesure.</w:t>
      </w:r>
    </w:p>
    <w:p>
      <w:r>
        <w:rPr>
          <w:b/>
        </w:rPr>
        <w:t>E. 12</w:t>
      </w:r>
    </w:p>
    <w:p>
      <w:r>
        <w:t>Le recours doit donc être admis et la décision de l'ODM du 7 mai 2012 annulée en tant qu'elle porte sur l'exécution du renvoi des intéressés. Partant, ils doivent être mis au bénéfice de l'admission provisoire.</w:t>
      </w:r>
    </w:p>
    <w:p>
      <w:r>
        <w:rPr>
          <w:b/>
        </w:rPr>
        <w:t>E. 13.1</w:t>
      </w:r>
    </w:p>
    <w:p>
      <w:r>
        <w:t>Les recourants ayant obtenu gain de cause, il n'est pas perçu de frais de procédure (art. 63 al. 1 et 2 PA).</w:t>
      </w:r>
    </w:p>
    <w:p>
      <w:r>
        <w:rPr>
          <w:b/>
        </w:rPr>
        <w:t>E. 13.2</w:t>
      </w:r>
    </w:p>
    <w:p>
      <w:r>
        <w:t>Pour les mêmes raisons, ceux-ci peuvent prétendre à l'allocation de dépens aux conditions de l'art. 7 al. 1 et 2 du Règlement concernant les frais, dépens et indemnités fixés par le Tribunal administratif fédéral du 21 février 2008 (FITAF, RS 173.320.2). Aussi en l'absence d'un décompte de prestation, il se justifie de leur octroyer un montant de 1100 francs, à titre de dépens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