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D-2669/2015 vom 22. Juli 2015</w:t>
      </w:r>
    </w:p>
    <w:p>
      <w:r>
        <w:t>Bundesverwaltungsgericht, 2015-07-22, DE</w:t>
      </w:r>
    </w:p>
    <w:p>
      <w:r>
        <w:rPr>
          <w:b/>
        </w:rPr>
        <w:t xml:space="preserve">Quelle: </w:t>
      </w:r>
      <w:r>
        <w:t>https://mcp.opencaselaw.ch/entscheid/bvger_D-2669_2015</w:t>
      </w:r>
    </w:p>
    <w:p>
      <w:r>
        <w:t>FR: TAF D-2669/2015 du 22 juillet 2015</w:t>
      </w:r>
    </w:p>
    <w:p>
      <w:r>
        <w:t>IT: TAF D-2669/2015 del 22 luglio 2015</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Vorliegend hat Richter Fulvio Haefeli im Rahmen seiner Stellungnahme vom 11. Mai 2015 das Vorliegen eines Ausstandsgrundes bestritten.</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28. April 2015 wird auf die von Richter Fulvio Haefeli erlassene Verfügung vom 20. April 2015 abgestellt. Das Ausstandsbegehren erfolgte in der zu beachtenden Form sowie innert nützlicher Frist, nämlich innert einer Woche nach Eröffnung der erwähnten Zwischenverfügung. Die Gesuchstellenden sind im Beschwerdeverfahren D-2262/2015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BGG aufgezählten Gründen, welche zu einem Ausstand führen, kommt keiner der in Art. 34 Abs. 1 Bst. a - d BGG erwähnten Spezialtatbestände in Frage, sondern einzig die Auffangbestimmung von Art. 34 Abs. 1 Bst. e BGG, auf welche sich die Gesuchstellenden denn auch ausdrücklich berufen.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Basel 2008, Art. 34, N. 6, 16 und 17).</w:t>
      </w:r>
    </w:p>
    <w:p>
      <w:r>
        <w:rPr>
          <w:b/>
        </w:rPr>
        <w:t>E. 2.3</w:t>
      </w:r>
    </w:p>
    <w:p>
      <w:r>
        <w:t>Unter den Anwendungsbereich von Art. 34 Abs. 1 Bst. e BGG fällt unter anderem auch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Entscheidungen und Mitteilungen der Schweizerischen Asylrekurskommission [EMARK] 2003 Nr. 26 E. 3a-f).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2.4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3.1</w:t>
      </w:r>
    </w:p>
    <w:p>
      <w:r>
        <w:t>Die Gesuchstellenden halten in ihren Eingaben im Kern dafür, ihr Gesuch um Erlass der Verfahrenskosten (im Sinne von Art. 65 Abs.1 VwVG) und als Folge davon ihr Gesuch um Beiordnung ihres Anwalts als unentgeltlicher Rechtsbeistand (gemäss Art. 110a Abs. 1 AsylG) hätte im Rahmen der Zwischenverfügung vom 20. April 2015 vom zuständigen Instruktionsrichter nicht abgewiesen werden dürfen, da ihre Beschwerdevorbringen aufgrund der Aktenlage auf keinen Fall aussichtslos seien. Die Abweisung des Gesuches sei einzig mit dem persönlichen Hintergrund des Instruktionsrichters, mithin seiner politischen Haltung zu erklären, argumentiere dieser doch wider die klare Aktenlage. Der Instruktionsrichter habe sich daher mit der Abweisung des Gesuches in einer Weise festgelegt, welche den Ausgang der Hauptsache als bereits vorbestimmt erscheinen lasse. Diese Vorbringen können indes aufgrund der Aktenlage nicht überzeugen.</w:t>
      </w:r>
    </w:p>
    <w:p>
      <w:r>
        <w:rPr>
          <w:b/>
        </w:rPr>
        <w:t>E. 3.2</w:t>
      </w:r>
    </w:p>
    <w:p>
      <w:r>
        <w:t>Aus den Akten folgt, dass die Vorinstanz das Vorbringen des Beschwerdeführers über seine Nichtteilnahme an der Demonstration vom (...) 2006, bei welcher es offenbar zu gewalttätigen Auseinandersetzungen gekommen ist, als unglaubhaft erklärt hat. Das SEM geht aufgrund der Aktenlage von einer Beteiligung des Gesuchstellers aus und es hält dafür, dem Gesuchsteller sei aufgrund des erkennbaren Tatbeitrages im Sinne der Praxis zu Art. 53 AsylG die Gewährung von Asyl zu verweigern. Aus der Zwischenverfügung vom 20. April 2015 geht hervor, dass vom Instruktionsrichter aufgrund einer summarischen Würdigung der Akten der von der Vorinstanz vertretene Ansatz als mutmasslich zutreffend erkannt wurde, weshalb die Sache als im Sinne von Art. 65 Abs. 1 VwVG aussichtslos bezeichnet werden müsse. Die Gesuchstellenden begründen ihr Ausstandsgesuch damit, dass der Instruktionsrichter damit die klare Aktenlage verkenne.</w:t>
      </w:r>
    </w:p>
    <w:p>
      <w:r>
        <w:rPr>
          <w:b/>
        </w:rPr>
        <w:t>E. 3.3</w:t>
      </w:r>
    </w:p>
    <w:p>
      <w:r>
        <w:t>Dem ist zunächst entgegenzuhalten, dass - wie bereits erwähnt - selbst eine unzutreffende Wahrnehmung der Akten durch den zuständigen Instruktionsrichter und daraus folgend eine allenfalls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Aus der Wahl der sprachlichen Formulierungen in der Zwischenverfügung vom 20. April 2015 ergeben sich vorliegend keine Hinweise darauf, dass der zuständige Instruktionsrichter nicht einer objektiven Abwägung der Gewinn- und Verlustchancen gefolgt wäre. Die Erwägungen in der Zwischenverfügung vom 20. April 2015 sind hinreichend offen formuliert. Es ist nicht zu erkennen, dass Richter Fulvio Haefeli im Rahmen des Hauptverfahrens nicht gewillt sein sollte, sich nach einlässlicher Prüfung der Sache und namentlich der von den Gesuchstellenden eingebrachten Beschwerdevorbringen vertieft auseinanderzusetzen und seine Position als Folge einer vertieften Würdigung der gesamten Aktenlage gegebenenfalls zu revidieren. Entgegen den Vorbringen im Rahmen der Replik lassen auch die Ausführungen von Richter Fulvio Haefeli in der Stellungnahme vom 11. Mai 2015 auf nichts anderes schliessen.</w:t>
      </w:r>
    </w:p>
    <w:p>
      <w:r>
        <w:rPr>
          <w:b/>
        </w:rPr>
        <w:t>E. 3.4</w:t>
      </w:r>
    </w:p>
    <w:p>
      <w:r>
        <w:t>Auch von einer krassen Fehlbeurteilung kann vorliegend nicht gesprochen werden. Daran vermag auch nichts zu ändern, dass die Erwägungen des Instruktionsrichters augenscheinlich der rechtlichen Einschätzung der Gesuchstellenden zuwiderlaufen. Die Frage der Beteiligung an bestimmten rechtswidrigen Handlungen bildet vorliegend Prozessgegenstand und ergibt sich entgegen der Sichtweise der Gesuchstellenden eben gerade nicht eindeutig aus den Akten. Das Vorbringen des Gesuchstellers, er sei erwiesenermassen kein Demonstrationsteilnehmer gewesen, ihm sei nie Sachbeschädigung und dergleichen vorgeworfen worden und der zuständige Instruktionsrichter argumentiere in dieser Hinsicht offensichtlich wider die klare Aktenlage, erscheint vor dem Hintergrund der gesamten Aktenlage als haltlos. Auch das sinngemässe Vorbringen des Gesuchstellers, er sei vom Instruktionsrichter in völliger Verkennung der Akten in eine linksextreme Ecke gerückt worden, geht am Aussagegehalt der Erwägungen in der Zwischenverfügung vom 20. April 2015 klar vorbei. Insgesamt vermögen die Gesuchstellenden nicht dazulegen, inwiefern es sich bei der Einschätzung des Instruktionsrichters, die vor­instanzlichen Ausführungen zur Beteiligung des Gesuchstellers an asylunwürdigen Handlungen dürften im Ergebnis überzeugen, handle es sich um eine krasse Fehlbeurteilung in grober Missachtung der richterlichen Pflichten. Wie die einzelnen Sachverhaltselemente nach einlässlicher Auseinandersetzung mit den Akten zu würdigen sein werden, bleibt jedoch dem Hauptverfahren vorbehalten. Objektive Gründe zur Annahme einer Befangenheit von Richter Fulvio Haefeli sind somit auch von daher nicht ersichtlich.</w:t>
      </w:r>
    </w:p>
    <w:p>
      <w:r>
        <w:rPr>
          <w:b/>
        </w:rPr>
        <w:t>E. 4</w:t>
      </w:r>
    </w:p>
    <w:p>
      <w:r>
        <w:t>Nach vorstehenden Erwägungen sind keine objektiven Gründe ersicht­lich gemacht, welche im Verfahren D-2262/2015 für eine Befangenheit von Richter Fulvio Haefeli sprechen würden. Bei dieser Sachlage ist das Ausstandsbegehren abzuweisen, womit im Rahmen des vorliegenden Verfahrens kein Anlass besteht, dem Antrag auf Aufhebung der Zwischenverfügung vom 20. April 2015 Folge zu leisten (vgl. dazu Art. 38 VGG i.V.m. Art. 38 Abs. 1 BGG). Mit dem Entscheid in der Hauptsache ist sodann der Antrag auf Gewährung vorsorglicher Massnahmen gegenstandslos geworden. Die Akten sind nach Abschluss des vorliegenden Verfahrens zur Weiterführung des Verfahrens D-2262/2015 an den zuständigen Instruktionsrichter zu überweisen.</w:t>
      </w:r>
    </w:p>
    <w:p>
      <w:r>
        <w:rPr>
          <w:b/>
        </w:rPr>
        <w:t>E. 5.1</w:t>
      </w:r>
    </w:p>
    <w:p>
      <w:r>
        <w:t>Die Gesuchstellenden ersuchen im vorliegenden Ausstandsverfahren um Gewährung der unentgeltlichen Rechtspflege (gemäss Art. 65 Abs. 1 VwVG), wie auch um Beiordnung ihres Rechtsvertreters als unentgeltlicher Rechtsbeistand (gemäss Art. 65 Abs. 2 VwVG; vgl. dazu Art. 110a Abs. 1 Bst. a - d AsylG [e contrario]). Vor dem Hintergrund der vorstehenden Erwägungen muss die Sache jedoch als aussichtslos bezeichnet werden, weshalb das Gesuch abzuweisen ist.</w:t>
      </w:r>
    </w:p>
    <w:p>
      <w:r>
        <w:rPr>
          <w:b/>
        </w:rPr>
        <w:t>E. 5.2</w:t>
      </w:r>
    </w:p>
    <w:p>
      <w:r>
        <w:t>Den Gesuchstellenden sind bei dieser Sachlage die Kosten des Verfahrens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