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D-2666/2018 vom 22. Mai 2018</w:t>
      </w:r>
    </w:p>
    <w:p>
      <w:r>
        <w:t>Bundesverwaltungsgericht, 2018-05-22, DE</w:t>
      </w:r>
    </w:p>
    <w:p>
      <w:r>
        <w:rPr>
          <w:b/>
        </w:rPr>
        <w:t xml:space="preserve">Quelle: </w:t>
      </w:r>
      <w:r>
        <w:t>https://mcp.opencaselaw.ch/entscheid/bvger_D-2666_2018</w:t>
      </w:r>
    </w:p>
    <w:p>
      <w:r>
        <w:t>FR: TAF D-2666/2018 du 22 mai 2018</w:t>
      </w:r>
    </w:p>
    <w:p>
      <w:r>
        <w:t>IT: TAF D-2666/2018 del 22 maggio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Die Gesuchstellenden sind durch das Beschwerdeurteil vom 30. November 2017 besonders berührt und haben ein schutzwürdiges Interesse an dessen Aufhebung oder Änderung. Sie sind daher zur Einreichung des Revisionsgesuchs legitimiert (Art. 48 Abs. 1 Bst. c VwVG).</w:t>
      </w:r>
    </w:p>
    <w:p>
      <w:r>
        <w:rPr>
          <w:b/>
        </w:rPr>
        <w:t>E. 2.1</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2.2</w:t>
      </w:r>
    </w:p>
    <w:p>
      <w:r>
        <w:t>Über Revisionsgesuche, die nicht in die Zuständigkeit des Einzelrichters oder der Einzelrichterin gemäss Art. 23 Abs. 1 VGG fallen, wird in der Regel in der Besetzung von drei Richtern oder Richterinnen entschieden.</w:t>
      </w:r>
    </w:p>
    <w:p>
      <w:r>
        <w:rPr>
          <w:b/>
        </w:rPr>
        <w:t>E. 2.3</w:t>
      </w:r>
    </w:p>
    <w:p>
      <w:r>
        <w:t>Im Revisionsgesuch ist insbesondere der angerufene Revisionsgrund anzugeben und die Rechtzeitigkeit des Revisionsbegehrens im Sinne von Art. 124 BGG darzutun.</w:t>
      </w:r>
    </w:p>
    <w:p>
      <w:r>
        <w:rPr>
          <w:b/>
        </w:rPr>
        <w:t>E. 2.4</w:t>
      </w:r>
    </w:p>
    <w:p>
      <w:r>
        <w:t>Die Gesuchstellenden machen den Revisionsgrund des Vorliegens neuer Beweismittel im Sinne von Art. 123 Abs. 2 Bst. a BGG geltend und zeigen ausserdem die Rechtzeitigkeit des Revisionsbegehrens auf. Auf das Revisionsgesuch ist einzutreten.</w:t>
      </w:r>
    </w:p>
    <w:p>
      <w:r>
        <w:rPr>
          <w:b/>
        </w:rPr>
        <w:t>E. 3</w:t>
      </w:r>
    </w:p>
    <w:p>
      <w:r>
        <w:t>Entsprechend zum Wiedererwägungsverfahren (vgl. Bst. F) wurden vom Bundesverwaltungsgericht drei Revisionsverfahren eröffnet (D-2666/2018, D-2667/2018 und D-2668/2018). Aufgrund des engen persönlichen und sachlichen Zusammenhanges werden diese aus prozessökonomischen Gründen vereinigt und es wird in einem Urteil darüber befunden.</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w:t>
      </w:r>
    </w:p>
    <w:p>
      <w:r>
        <w:rPr>
          <w:b/>
        </w:rPr>
        <w:t>E. 4.2</w:t>
      </w:r>
    </w:p>
    <w:p>
      <w:r>
        <w:t>Die revisionsweise vorgebrachten Tatsachen beziehungsweise Beweismittel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entschuldbaren Gründen nicht möglich war (vgl. BVGE 2013/22; BGE 134 III 47 E. 2.1; Moser/ Beusch/ Kneubühler, Prozessieren vor dem Bundesverwaltungsgericht, 2. Aufl. 2013, Rz. 5.47). Die Revision dient insbesondere nicht dazu, bisherige Unterlassungen in der Beweisführung wieder gutzumachen. Die Beurteilung der Frage, ob die Geltendmachung von erheblichen und vorbestandenen Sachverhaltsumständen oder das Beibringen von Beweismitteln im früheren Verfahren in der Tat unmöglich oder unzumutbar gewesen sei, hat daher restriktiv zu erfolgen (vgl. Escher, in: Basler Kommentar, Bundesgerichtsgesetz, 2. Aufl. 2011, N 8 zu Art. 123 BGG). Die solchermassen neuen Tatsachen oder Beweismittel müssen sodann erheblich sein. Diese Erheblichkeit ist zu bejahen, wenn Beweismittel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 Prozessieren vor dem Bundesverwaltungsgericht, 2. Aufl. 2013, S. 307 Rz. 5.48).</w:t>
      </w:r>
    </w:p>
    <w:p>
      <w:r>
        <w:rPr>
          <w:b/>
        </w:rPr>
        <w:t>E. 5.1</w:t>
      </w:r>
    </w:p>
    <w:p>
      <w:r>
        <w:t>Als neue Beweismittel werden vorliegend eine vom Vater der Gesuchstellerin 2 gegen den Gesuchsteller 1 beim Vorsitzenden des Berufungsgerichts in E._______ erhobene Strafanzeige vom (...), ein gleichentags und ebenfalls vom Vorsitzenden des Amtsgerichts in E._______ ausgestellter Haftbefehl sowie ein Auszug aus einem irakischen Zivilregister vom (...) eingereicht. Die Gesuchstellenden machen geltend, diese Originaldokumente würden ihre bereits im ordentlichen Verfahren dargelegte Gefährdung im Falle einer Rückkehr in den Irak beweisen.</w:t>
      </w:r>
    </w:p>
    <w:p>
      <w:r>
        <w:rPr>
          <w:b/>
        </w:rPr>
        <w:t>E. 5.2</w:t>
      </w:r>
    </w:p>
    <w:p>
      <w:r>
        <w:t>Die Argumentation der Gesuchstellenden, wonach sie erst durch ihren im Irak mandatierten Rechtsanwalt von der Existenz der nun eingereichten Dokumente erfahren hätten, vermag nicht zu überzeugen. Es ist nicht nachvollziehbar, weshalb es ihnen - allenfalls auch mit Hilfe eines irakischen Rechtsvertreters - nicht möglich und zumutbar gewesen sein sollte, die genannten Dokumente innerhalb des über zwei Jahre dauernden Asylverfahrens zu beschaffen. Ihr Einwand, sie hätten sich bereits früher um die Beschaffung weiterer Dokumente bemühen können, wenn ihnen bekannt gewesen wäre, dass dem im ordentlichen Asylverfahren zu den Akten gereichten Haftbefehl vom (...) der Beweiswert abgesprochen würde, ist mit Blick auf ihre gesetzliche Mitwirkungspflicht gemäss Art. 8 Abs. 1 Bst. d AsylG unbehelflich. Dies gilt umso mehr, als sie im ordentlichen Beschwerdeverfahren vor dem Bundesverwaltungsgericht rechtskundig vertreten waren. Wie ausgeführt, dient die Revision nicht dazu, allfällige bisherige Unterlassungen in der Beweisführung wieder gutzumachen.</w:t>
      </w:r>
    </w:p>
    <w:p>
      <w:r>
        <w:rPr>
          <w:b/>
        </w:rPr>
        <w:t>E. 5.3</w:t>
      </w:r>
    </w:p>
    <w:p>
      <w:r>
        <w:t>Ausserdem erweisen sich die eingereichten Beweismittel und die diesbezüglichen Vorbringen in der Rechtsmittelschrift als nicht geeignet, etwas an der Einschätzung der Glaubhaftigkeit der Asylvorbringen der Gesuchstellenden zu ändern. So weist der Briefkopf des Haftbefehls vom (...) - im Unterschied zu dem im ordentlichen Verfahren eingereichten Haftbefehl - einen offensichtlichen Rechtschreibefehler auf ("[...]" im Vergleich zu "[...]" [vgl. SEM act. [N {...}] A11]). Es ist auch nicht nachvollziehbar, weshalb eine Behörde gegen den Gesuchsteller 1 mehrere Haftbefehle aus demselben Grund hätte ausstellen sollen. Ebenso wenig ist erklärbar, dass der im ordentlichen Verfahren eingereichte Haftbefehl der Familie des Gesuchstellers 1 übergeben worden sein soll, während der vorliegend eingereichte Haftbefehl nur mit Hilfe eines Anwaltes habe besorgt werden können. Auch bei der Anzeige vom (...) sticht ein offensichtlicher Rechtschreibfehler im Briefkopf ins Auge ("[...]"). Zudem widerspricht das Datum der Anzeige ([...]) dem Haftbefehl des ordentlichen Verfahrens, wonach die Anzeige bereits am (...) gemacht worden sein soll (vgl. SEM act. [N {...}] A11]). Aus der Anzeige geht ferner hervor, dass der Vater der Gesuchstellerin 2 in E._______ im Kreis F._______ wohnhaft sein soll. Dies steht im Widerspruch zu den Angaben der Gesuchstellerin 2, wonach ihr Vater in G._______ wohnt und dort auch eingebürgert worden ist (vgl. SEM act. [N {...}] A22, A23). Auch überzeugt nicht, dass der Vater zweimal persönlich für eine Anzeigeerstattung von G._______ in den Irak gereist sein soll, nachdem die Gesuchstellerin 2 bei ihrem Grossvater wohnhaft war und dieser den Angaben nach für massgebende Entscheide, so auch betreffend die Frage einer Heirat, zuständig gewesen ist (vgl. SEM act. [N {...}] A16, F 52). Aufgrund des Gesagten sind an der Echtheit der Anzeige und des Haftbefehls vom (...) bedeutende Zweifel angebracht, so dass deren revisionsrechtliche Erheblichkeit zu verneinen ist. Dasselbe gilt für den Zivilregisterauszug. Diesbezüglich ist festzuhalten, dass die Tatsache, dass der Gesuchsteller 1 und die Gesuchstellerin 2 nicht verheiratet sind, bereits im ordentlichen Verfahren bekannt war und vom Gericht in seinem Urteil nicht in Zweifel gezogen worden ist. Auf eine Echtheitsüberprüfung der eingereichten Beweismittel kann demnach verzichtet werden.</w:t>
      </w:r>
    </w:p>
    <w:p>
      <w:r>
        <w:rPr>
          <w:b/>
        </w:rPr>
        <w:t>E. 5.4</w:t>
      </w:r>
    </w:p>
    <w:p>
      <w:r>
        <w:t>Soweit sich die Beschwerdevorbringen in weitläufigen Ausführungen auf eine reine Urteilskritik beschränken (vgl. insbesondere Eingabe vom 23. April 2018 S. 10 f.), sind diesbezüglich die Anforderungen an die Begründung eines Revisionsgesuchs nicht erfüllt (vgl. Elisabeth Escher, in: Niggli/Uebersax/Wiprächtiger [Hrsg.], Basler Kommentar zum Bundesgerichtsgesetz, 2. Aufl. 2011, Art. 121 N 1; Nicolas von Werdt, in: Seiler/von Werdt/Güngerich/Oberholzer, Stämpflis Handkommentar SHK, Bundesgerichtsgesetz, 2. Aufl. 2015, Art. 121 N 9), weshalb darauf nicht weiter einzugehen ist.</w:t>
      </w:r>
    </w:p>
    <w:p>
      <w:r>
        <w:rPr>
          <w:b/>
        </w:rPr>
        <w:t>E. 6</w:t>
      </w:r>
    </w:p>
    <w:p>
      <w:r>
        <w:t>Zusammenfassend ist festzuhalten, dass keine revisionsrechtlich relevanten Gründe dargetan sind. Das Gesuch um Revision des Urteils vom 30. November 2017 ist demzufolge abzuweisen.</w:t>
      </w:r>
    </w:p>
    <w:p>
      <w:r>
        <w:rPr>
          <w:b/>
        </w:rPr>
        <w:t>E. 7.1</w:t>
      </w:r>
    </w:p>
    <w:p>
      <w:r>
        <w:t>Die Gesuche um Gewährung der unentgeltlichen Prozessführung (vgl. Art. 65 Abs. 1 VwVG) und der unentgeltlichen Rechtsverbeiständung (vgl. Art. 65 Abs. 2 VwVG) sind abzuweisen, da das Revisionsbegehren nach dem Gesagten als aussichtslos zu bezeichnen war und es damit an einer Voraussetzung zur Gewährung der unentgeltlichen Prozessführung fehlt.</w:t>
      </w:r>
    </w:p>
    <w:p>
      <w:r>
        <w:rPr>
          <w:b/>
        </w:rPr>
        <w:t>E. 7.2</w:t>
      </w:r>
    </w:p>
    <w:p>
      <w:r>
        <w:t>Bei diesem Ausgang des Verfahrens sind die Kosten von Fr. 1500.- den Gesuchstellenden aufzuerlegen (Art. 37 VGG i.V.m. Art. 63 Abs. 1 VwVG; Art. 1-3 des Reglements vom 21. Februar 2008 über die Kosten und Entschädigungen vor dem Bundesverwaltungsgericht [VGKE, SR 173.320.2]). Die Höhe der Verfahrenskosten ist - auch unter Berücksichtigung der vom Wiedererwägungsverfahren losgelösten Behandlung des Revisionsgesuches im vorliegenden Verfahren - angemessen, zumal es sich dabei um zwei eigenständige Rechtsmittelverfahren handelt.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