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D-2664/2016 vom 3. Februar 2017</w:t>
      </w:r>
    </w:p>
    <w:p>
      <w:r>
        <w:t>Bundesverwaltungsgericht, 2017-02-03, DE</w:t>
      </w:r>
    </w:p>
    <w:p>
      <w:r>
        <w:rPr>
          <w:b/>
        </w:rPr>
        <w:t xml:space="preserve">Quelle: </w:t>
      </w:r>
      <w:r>
        <w:t>https://mcp.opencaselaw.ch/entscheid/bvger_D-2664_2016</w:t>
      </w:r>
    </w:p>
    <w:p>
      <w:r>
        <w:t>FR: TAF D-2664/2016 du 3 février 2017</w:t>
      </w:r>
    </w:p>
    <w:p>
      <w:r>
        <w:t>IT: TAF D-2664/2016 del 3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beschwerdeführenden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4.1</w:t>
      </w:r>
    </w:p>
    <w:p>
      <w:r>
        <w:t>Der Untersuchungsgrundsatz gehört zu den allgemeinen Grundsätzen des Asylverfahrens (Art. 12 VwVG). Er bedeutet, dass die Behörde gehalten ist, von Amtes wegen für die richtige und vollständige Abklärung des rechtserheblichen Sachverhaltes zu sorgen.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Gemäss Art. 106 Bst. b AsylG bildet denn auch die unrichtige oder unvollständige Feststellung des Sachverhalts neben der Verletzung von Bundesrecht, einschliesslich der Überschreitung oder Missbrauchs des Ermessens (Art. 106 Bst. a AsylG), einen Beschwerdegrund.</w:t>
      </w:r>
    </w:p>
    <w:p>
      <w:r>
        <w:rPr>
          <w:b/>
        </w:rPr>
        <w:t>E. 4.2</w:t>
      </w:r>
    </w:p>
    <w:p>
      <w:r>
        <w:t>Wie vom SEM zutreffend festgehalten, sind die Aussagen der Beschwerdeführerin mit Unstimmigkeiten behaftet. Bei diesen muss sie sich unbesehen der Frage deren Relevanz grundsätzlich behaften lassen, da sie jeweils angab, die dolmetschende Person gut zu verstehen und unterschriftlich die Korrektheit der ihr rückübersetzten Protokolle bestätigte. Im Weiteren wirken ihre Angaben zu den Reisemodalitäten stereotyp und wenig kooperativ an, weshalb in diesem Punkt die vollumfänglich Befolgung der Mitwirkungs- und Wahrheitspflicht kaum zu bejahen sein dürfte (vgl. A 4/18 S. 9 f.). Zu beachten ist aber, dass in den eingereichten ärztlichen Unterlagen übereinstimmend eine Traumatisierung der Beschwerdeführerin diagnostiziert wurde. Dieser medizinische Befund wird vom Gericht nicht angezweifelt. Das SEM erwägt im angefochtenen Entscheid aber, es stehe fest, dass sie bezüglich ihrer gesundheitlicher Vorbringen die Wahrheits- und Mitwirkungspflicht verletzt habe. Der kritische Gesundheitszustand sei anzuzweifeln. Sollte sie tatsächlich psychisch instabil sein, wäre dies auf andere als die angegebenen, nicht glaubhaften Gründe zurückzuführen. In der Vernehmlassung wird angeführt, der Gesundheitszustand der Beschwerdeführerin sei nicht ausser Acht gelassen, sondern nicht geglaubt worden. Diese Sichtweise überzeugt in Anbetracht der ärztlichen Unterlagen nicht. Im fachärztlicher Bericht vom 15. November 2014 wird ein hochgradiger Verdacht auf eine posttraumatische Belastungsstörung mit Flashbacks diagnostiziert. Die Behandlung in der Spezialsprechstunde eines Ambulatoriums für Folter und Kriegsopfer wird empfohlen. Im fachärztlichen Bericht vom 13. April 2015 wird eine sichtlich aufgewühlte und ängstliche Patientin mit einem "riesengrossen Wirrwarr im Kopf" erwähnt. Sie leide vor allem unter den Intrusionen aufgrund der stattgehabten Traumatisierungen (mehrfache Vergewaltigung, Verschleppung) im Heimatland. Es liege eine PTBS vor. Der fachärztliche Bericht vom 27. August 2015 bestätigt im Wesentlichen die Einschätzungen der beiden vorerwähnten Berichte. Auch wenn die von der Patientin geltend gemachte schwere Traumatisierung durch die Fachkräfte letztlich nicht überprüft werden könne, würde eine derartige Erfahrung doch den vorliegenden Symptomkomplex erwarten lassen. Die Angaben der Patientin seien somit aus medizinischer Sicht schlüssig und plausibel mit dem klinischen Bild vereinbar. Auch der Arztbericht vom 25. Februar 2016 bestätigt die bisherigen Schlussfolgerungen. Die Beschwerdeführerin hat sich wie erwähnt zur zeitlichen Dauer der Nachstellungen, zum Zeitpunkt der Entführung sowie zu deren Umständen, zur Flucht aus dem Haus von E._______ und zu dessen Alter und zum Ablauf des Geschehens vor der Ausreise anlässlich der beiden Befragungen nicht übereinstimmend geäussert. In der Beschwerde wird aber - nebst einer Relativierung gewisser Unstimmigkeiten aufgrund nicht eindeutiger respektive anders zu interpretierender Protokollstellen - zurecht auf die Symptomatik der Beschwerdeführerin hingewiesen, welche bei der Frage der Glaubhaftigkeit der Aussagen hätte beachtet werden müssen. Unter anderem komme es zu Erinnerungsbeeinträchtigungen in Bezug auf das traumatische Erlebnis (vgl. vorstehend Bst. D.). Nach einer Durchsicht der Protokolle ist in der Tat davon auszugehen, dass ein traumatisches Erlebnis das Aussageverhalten der Beschwerdeführerin im Sinne von Realkennzeichen prägte und sie - nicht wie vom SEM angedeutet - mit asyltaktischer Motivation ein Beschwerdebild suggerierte, sondern tatsächlich unfähig war, wie eine psychisch stabile Person die Ereignisse, welche zur Flucht führten, wiederzugeben. Ihre Ausbrüche erwecken den Eindruck tatsächlicher Betroffenheit verbunden mit der Unfähigkeit, gewisse gestellte Fragen anlässlich der Anhörung wieder übereinstimmend zu beantworten und die erlittene Situation im Heimatland in allen Punkten adäquat wiederzugeben. Dass sie sich nach der Anhörung trotz bekundeter Mühe, sich in geschlossenen Räumen aufzuhalten, bei Sommerhitze freiwillig in einem geschlossenen Warteraum aufhielt, ändert im Sinne der zutreffenden Beschwerdevorbringen offensichtlich nichts am glaubhaften Krankheitsbild. Soweit anlässlich der Anhörung im Übrigen festgehalten wurde, sie mache nicht den Eindruck, sie käme aus einer Familie, "die sich so herumschubsen lässt durch einen Verwaltungsangestellten", vermag diese Spekulation ihre in Kernpunkten insgesamt übereinstimmenden Äusserungen, vor Ort durch eine Person mit öffentlichem Amt und dessen Umkreis vergewaltigt worden zu sein, unbesehen der verharmlosenden Wortwahl offensichtlich wiederum nicht hinreichend zu entkräften (vgl. A 16/18 Antwort 129). Nach dem Gesagten bestehen in den Aussagen der Beschwerdeführerin Ungereimtheiten, welche gemäss vorstehenden Erwägungen indes nicht ausreichen, um auf eine Prüfung der Asylrelevanz gänzlich zu verzichten. Die eingereichten Arztberichte weisen mit einer gewissen Schlüssigkeit darauf hin, dass sie wohl Opfer von sexueller Gewalt beziehungsweise mehrfach vergewaltigt worden ist. Das SEM geht insbesondere aus den erwähnten unterschiedlichen Angaben der Beschwerdeführerin gesamthaft von der Unglaubhaftigkeit ihrer Vorbringen aus, ohne sich mit den geltend gemachten Gewaltübergriffen als solchen hinreichend auseinanderzusetzen. Die Vorinstanz wäre gehalten gewesen, die Schilderungen der Beschwerdeführerin beziehungsweise die Vorkommnisse in Berücksichtigung ihrer gesundheitlichen Situation einer vertieften Abklärung zu unterziehen und - in Berücksichtigung der in der Beschwerde thematisierten Rechtsprechung der Beschwerdeinstanz - auf ihre Asylrelevanz hin zu überprüfen.</w:t>
      </w:r>
    </w:p>
    <w:p>
      <w:r>
        <w:rPr>
          <w:b/>
        </w:rPr>
        <w:t>E. 5</w:t>
      </w:r>
    </w:p>
    <w:p>
      <w:r>
        <w:t>Zusammenfassend ergibt sich, dass der rechtserhebliche Sachverhalt im Zusammenhang mit frauenspezifischer Gewalt in Äthiopien und deren Asylrelevanz im vorliegenden Fall falsch beziehungsweise unvollständig festgestellt worden ist. Eine Heilung kommt offensichtlich nicht in Betracht. Angesichts dieses Umstandes ist die Beschwerde vom 29. April 2016 gutzuheissen, die angefochtene Verfügung aufzuheben und die Sache zur Neubeurteilung im Sinne der Erwägungen an das SEM zurückzuweisen.</w:t>
      </w:r>
    </w:p>
    <w:p>
      <w:r>
        <w:rPr>
          <w:b/>
        </w:rPr>
        <w:t>E. 6.1</w:t>
      </w:r>
    </w:p>
    <w:p>
      <w:r>
        <w:t>Bei diesem Ausgang des Verfahrens sind keine Kosten zu erheben (Art. 63 Abs. 1 und 2 VwVG).</w:t>
      </w:r>
    </w:p>
    <w:p>
      <w:r>
        <w:rPr>
          <w:b/>
        </w:rPr>
        <w:t>E. 6.2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der Rechtsvertreterin der Beschwerdeführerin wurde am 14. Juni 2016 eine Kostennote eingereicht. Darin wird ein Aufwand von Fr. 2905.- ausgewiesen, was als angemessen erscheint. Dieser Betrag ist ihr durch das SEM zu entrichten. Der Anspruch auf amtliches Honorar der als unentgeltliche Rechtsbeiständin eingesetzten Rechtsvertreterin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