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D-2655/2016 vom 23. Juni 2016</w:t>
      </w:r>
    </w:p>
    <w:p>
      <w:r>
        <w:t>Bundesverwaltungsgericht, 2016-06-23, DE</w:t>
      </w:r>
    </w:p>
    <w:p>
      <w:r>
        <w:rPr>
          <w:b/>
        </w:rPr>
        <w:t xml:space="preserve">Quelle: </w:t>
      </w:r>
      <w:r>
        <w:t>https://mcp.opencaselaw.ch/entscheid/bvger_D-2655_2016</w:t>
      </w:r>
    </w:p>
    <w:p>
      <w:r>
        <w:t>FR: TAF D-2655/2016 du 23 juin 2016</w:t>
      </w:r>
    </w:p>
    <w:p>
      <w:r>
        <w:t>IT: TAF D-2655/2016 del 23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Staatssekretariat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zur Begründung seiner Beschwerdebegehren im Wesentlichen geltend, er bestreite das Gutachten der Lingua-Analyse vollumfänglich. Die Analyse sei nicht fundiert, und er bezweifle die fachliche Qualifikation der Sachverständigen. Der Analyse dürfe kein Beweiswert zugesprochen werden. Die Sprache des Beschwerdeführers habe sich während seines Aufenthalts von 29 Jahren im Kloster an diejenige seines Lehrers und der übrigen Mönche angepasst. Die Sprachanalyse stelle fest, dass er nicht in Shigatse sozialisiert worden sei, da seine Aussprache nicht derjenigen von Personen aus Shigatse entspreche. Diese Feststellung genüge jedoch nicht um aufzuzeigen, dass er nicht 29 Jahre seines Lebens in einem Kloster in Shigatse verbracht habe. Zur Untermauerung seiner Herkunft habe er seinen Lehrer um eine Bestätigung gebeten, dass er während 29 Jahren im Kloster gewohnt habe. Seine Vorbringen genügten entgegen der Ansicht des SEM den Anforderungen an die Glaubhaftmachung. Dementsprechend sei seine tibetische Herkunft und seine chinesische Staatsangehörigkeit als belegt zu erachten. Da er seinen Heimatstaat illegal verlassen habe, sei vorliegendenfalls die Existenz subjektiver Nachfluchtgründe zu bejahen.</w:t>
      </w:r>
    </w:p>
    <w:p>
      <w:r>
        <w:rPr>
          <w:b/>
        </w:rPr>
        <w:t>E. 5.2</w:t>
      </w:r>
    </w:p>
    <w:p>
      <w:r>
        <w:t>Diese Vorbringen in der Beschwerdeschrift vermögen nicht zu einer veränderten Betrachtungsweise zu führen, zumal sich der Beschwerdeführer bereits hinsichtlich des Reisewegs wirklichkeitsfremd geäussert hat (vgl. Akten BFM A8/12 Ziff. 5.02 S. 6/7). So ist beispielsweise nicht davon auszugehen, der Beschwerdeführer wisse nicht Bescheid über die von ihm benutzten Fluggesellschaften sowie die Flugrouten und -destinationen. Wie sich zudem aus dem Protokoll der BzP sinngemäss ergibt, wollte der Beschwerdeführer dem Befrager sogar weismachen, er sei gewissermassen zufällig nach Europa gekommen, stellte er doch auf die Frage nach dem europäischen Ankunftsflughafen die Gegenfrage, was Europa sei, und der Befrager möge ihm das doch bitte erklären. Bezeichnenderweise war der Beschwerdeführer denn auch nicht in der Lage, den schweizerischen Asylbehörden das "grüne Dokument", das er für die Reise nach Europa benutzt habe, zu übergeben. Angesichts seiner Vorbringen hätte er indessen dazu in der Lage sein müssen. Dementsprechend hinterlassen seine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5.3</w:t>
      </w:r>
    </w:p>
    <w:p>
      <w:r>
        <w:t>Bei der vom SEM in Auftrag gegebenen Sprach- und Herkunftsanalyse wurden sowohl die sprachlichen Eigenheiten als auch die landeskundlich-kulturellen Kenntnisse des Beschwerdeführers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Bundesverwaltungsgerichts E-163/2012 vom 7. August 2012 sowie E 6979/2011 vom 23. Januar 2012).</w:t>
      </w:r>
    </w:p>
    <w:p>
      <w:r>
        <w:rPr>
          <w:b/>
        </w:rPr>
        <w:t>E. 5.3.1</w:t>
      </w:r>
    </w:p>
    <w:p>
      <w:r>
        <w:t>Zunächst ist festzuhalten, dass an der fachlichen Qualifikation der sachverständigen Person keine Zweifel bestehen. Die nicht weiter begründete Behauptung des Beschwerdeführers, er "bezweifle die fachlichen Qualifikationen der Sachverständigen", vermag nicht zu einer veränderten Betrachtungsweise zu führen, zumal er seine Zweifel nur mit den unliebsamen Schlussfolgerungen der sachverständigen Person begründen konnte.</w:t>
      </w:r>
    </w:p>
    <w:p>
      <w:r>
        <w:rPr>
          <w:b/>
        </w:rPr>
        <w:t>E. 5.3.2</w:t>
      </w:r>
    </w:p>
    <w:p>
      <w:r>
        <w:t>Des Weiteren ist festzustellen, dass das vorliegend zu beurteilende Lingua-Gutachten fundiert und mit einer überzeugenden sowie ausgewogenen Begründung versehen ist, die zu keinen Beanstandungen Anlass gibt. So legte die sachverständige Person ausführlich und mit konkreten Beispielen von Begriffen, welche der Beschwerdeführer anlässlich des Telefongesprächs vom 9. Juni 2015 verwendet hat, dar, dass seine Sprechweise nur sehr geringfügig vom Shigatse-Dialekt und überwiegend durch den Dialekt von Lhasa respektive durch die exiltibetischen Mischsprachen geprägt ist. Ferner kommen - so die sachverständige Person - in der Sprechart des Beschwerdeführers Merkmale vor, die in keinem innertibetischen Dialekt vorkommen. Dementsprechend erscheint es überwiegend wahrscheinlich, dass der Beschwerdeführer nicht am von ihm angegebenen Ort seine Hauptsozialisation erfahren hat. An diesem Gesamteindruck vermag auch der Einwand des Beschwerdeführers, nicht jede aus Tibet stammende Person verfüge über Chinesischkenntnisse, nichts zu ändern, selbst wenn diesem Vorbringen zuzustimmen wäre. Ferner sind auch die vom Beschwerdeführer geltend gemachten Vorfluchtgründe wenig glaubhaft. So ist dem SEM beizupflichten, dass er nicht nachvollziehbar erklären konnte, weshalb er - nachdem er sich zuvor nie politisch betätigt hatte - im Alter von 35 Jahren plötzlich das nicht unerhebliche Risiko auf sich genommen und am Vortag des Geburtstags des Dalai Lama - an dem die chinesische Polizeipräsenz in Tibet ohnehin jeweils höher sein dürfte (vgl. z.B. DiePresse.com, Blutbad zum Geburtstag des Dalai-Lama, 9. Juli 2013; NBC News, China Boosts Security in Dalai Lama's Hometown Ahead of 80th Birthday, 5. Juli 2015) - in einem Dorf 50 politisch-provokative Plakate aufgehängt hat. Nach dem Gesagten erscheint der rechtserhebliche Sachverhalt rechtsgenüglich abgeklärt und die Begründungspflicht durch die angefochtene Verfügung nicht verletzt, weshalb Kassation und Rückweisung an die Vorinstanz zu neuem Entscheid ausser Betracht fallen.</w:t>
      </w:r>
    </w:p>
    <w:p>
      <w:r>
        <w:rPr>
          <w:b/>
        </w:rPr>
        <w:t>E. 5.4</w:t>
      </w:r>
    </w:p>
    <w:p>
      <w:r>
        <w:t>Im Übrigen hat der Beschwerdeführer kein Reise- oder Identitätspapier im Sinne von BVGE 2007/7 zu den Akten gereicht, weshalb seine Staatsangehörigkeit nicht feststeht. Daran vermag auch die Bestätigung vom 20. April 2016, die - wie der Beschwerde zu entnehmen ist - von einem Klosterbruder ausgestellt sein soll, nichts zu ändern, zumal der Beweiswert eines solchen Papiers gering zu veranschlagen ist. Das dürfte damit zusammenhängen, dass derlei Bestätigungen beliebigen und typischerweise wahrheitswidrigen Inhalts von jedermann gegen bescheidenes Entgelt beschafft werden können.</w:t>
      </w:r>
    </w:p>
    <w:p>
      <w:r>
        <w:rPr>
          <w:b/>
        </w:rPr>
        <w:t>E. 5.5</w:t>
      </w:r>
    </w:p>
    <w:p>
      <w:r>
        <w:t>Aufgrund der schlüssig begründeten Lingua-Analyse und der wenig überzeugenden Erklärungsversuche des Beschwerdeführers ist mit überwiegender Wahrscheinlichkeit davon auszugehen, dass er vor seiner Ankunft in der Schweiz nicht in der Volksrepublik China, sondern in der exiltibetischen Diaspora gelebt hat; dies wird durch die Tatsache, dass er keinerlei Identitätsdokumente eingereicht hat sowie die Unglaubhaftigkeit der von ihm vorgetragenen Vorfluchtgründe untermauert.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5.6</w:t>
      </w:r>
    </w:p>
    <w:p>
      <w:r>
        <w:t>Zusammenfassend ist demnach festzuhalten, dass zwar davon auszugehen ist, dass der Beschwerdeführer tibetischer Ethnie ist. Jedoch entbehren seine geltend gemachten Vorbringen hinsichtlich des Ortes seiner hauptsächlichen Sozialisation sowie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7.2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dem Beschwerdeführer, sich die für eine Rückkehr allenfalls benötigten Reisedokumente zu beschaffen (Art. 8 Abs. 4 AsylG; vgl. BVGE 2008/34 E. 12), weshalb der Vollzug der Wegweisung auch als möglich zu bezeichnen ist. Nach dem Gesagten fällt die Anordnung der vorläufigen Aufnahme des Beschwerdeführers in der Schweiz ausser Betracht.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Dabei ist der einbezahlte Kostenvorschuss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