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D-2652/2010 vom 19. August 2010</w:t>
      </w:r>
    </w:p>
    <w:p>
      <w:r>
        <w:t>Bundesverwaltungsgericht, 2010-08-19, DE</w:t>
      </w:r>
    </w:p>
    <w:p>
      <w:r>
        <w:rPr>
          <w:b/>
        </w:rPr>
        <w:t xml:space="preserve">Quelle: </w:t>
      </w:r>
      <w:r>
        <w:t>https://mcp.opencaselaw.ch/entscheid/bvger_D-2652_2010</w:t>
      </w:r>
    </w:p>
    <w:p>
      <w:r>
        <w:t>FR: TAF D-2652/2010 du 19 août 2010</w:t>
      </w:r>
    </w:p>
    <w:p>
      <w:r>
        <w:t>IT: TAF D-2652/2010 del 19 agosto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seiner Beschwerde macht der Beschwerdeführer im Wesentlichen geltend, er habe zu Protokoll gegeben, er sei ein paar Mal festgenommen und auf den Polizeiposten gebracht worden. Er habe ebenfalls unmissverständlich geltend gemacht, schlecht behandelt beziehungsweise geschlagen worden zu sein. Es sei eine bekannte Tatsache, dass die türkische Polizei bei den Festnahmen mit Kurden, insbesondere Mitgliedern der DTP oder PKK (Kurdische Arbeiterpartei), nicht zimperlich umgehe. Schon oft hätten Menschenrechtsorganisationen bewiesen, dass Menschen in Polizeihaft schwer gefoltert worden seien. Es habe auch Todesfälle gegeben. Aufgrund dieser Tatsache müsse davon ausgegangen werden, dass der Beschwerdeführer bei den Festnahmen gefoltert worden sei. Der Vorinstanz sollte eigentlich bekannt sein, wie die türkische Polizei mit festgenommenen Personen umgehe. Aufgrund dieser Tatsache sei es nicht nachvollziehbar, wenn die diesbezüglichen Vorbringen des Beschwerdeführers von der Vorinstanz als widersprüchlich bezeichnet würden. Es sei des Weiteren eine bekannte Tatsache, dass Mitglieder und Sympathisanten der DTP ständigen Repressionen der türkischen Behörden ausgesetzt seien. Auch der Beschwerdeführer sei, um einer weiteren Verhaftung zu entgehen, ins Ausland geflüchtet. Die obigen Ausführungen machten ohne Zweifel deutlich, dass die Sicherheitskräfte den Beschwerdeführer im Visier hätten. Dementsprechend sei davon auszugehen, der Beschwerdeführer habe für den Fall einer Rückkehr in den Heimatstaat begründete Furcht vor weiterer staatlicher Verfolgung, insbesondere habe er die Ermordung durch unbekannte Täter zu gewärtigen. Bei dieser Sachlage vermöchten die übereinstimmenden Vorbringen des Beschwerdeführers den Anforderungen von Arzt. 7 AsylG an die Glaubhaftigkeit und von Art. 3 AsylG an die Anerkennung der Flüchtlingseigenschaft zu genügen.</w:t>
      </w:r>
    </w:p>
    <w:p>
      <w:r>
        <w:rPr>
          <w:b/>
        </w:rPr>
        <w:t>E. 5.2</w:t>
      </w:r>
    </w:p>
    <w:p>
      <w:r>
        <w:t>Diese Vorbringen in der Beschwerdeschrift vermögen nicht zu einer veränderten Betrachtungsweise zu führen, da sich der Beschwerdeführer nicht im Einzelnen mit den zahlreichen vom BFM zu Recht festgestellten Unglaubhaftigkeitselementen in seinen Vorbringen auseinandersetzt. Diese können nicht ausgeräumt werden, indem lediglich auf allgemeine Übergriffe der türkischen Polizei verwiesen wird, ohne zu den individuell erlittenen Nachteilen erhellende Argumente aufzuführen. Bei dieser Sachlage erübrigt es sich, auf weitere Vorbringen des Beschwerdeführers oder die von ihm eingereichten Auszüge aus dem Internet, die sich nicht auf seine Person beziehen, weiter einzugehen. Deshalb ist die Beschwerde als offensichtlich unbegründet zu qualifizieren.</w:t>
      </w:r>
    </w:p>
    <w:p>
      <w:r>
        <w:rPr>
          <w:b/>
        </w:rPr>
        <w:t>E. 5.3</w:t>
      </w:r>
    </w:p>
    <w:p>
      <w:r>
        <w:t>Zusammenfassend ist festzustellen, dass beim Beschwerdeführer keine Verfolgung im Sinne von Art. 3 AsylG vorliegt und er nicht als Flüchtling anerkannt werden kann. Mangels erfüllter Flüchtlingseigenschaft ist ihm zu Recht das nachgesuchte Asyl nicht gewährt worden.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7.5</w:t>
      </w:r>
    </w:p>
    <w:p>
      <w:r>
        <w:t>Angesichts der heutigen Lage in der Türkei kann nicht von einer Situation allgemeiner Gewalt oder von kriegerischen oder bürgerkriegsähnlichen Verhältnissen gesprochen werden, welche für den Beschwerdeführer bei einer Rückkehr eine konkrete Gefährdung darstellen würden. Zudem gibt es auch keine Hinweise, aufgrund derer unter Umständen geschlossen werden könnte, der den Akten zufolge junge und gesunde Beschwerdeführer gerate im Falle der Rückkehr in eine existenzbedrohende Situation, dies umso weniger, als seine Familie hablich ist. Eigenen Angaben zufolge verfügt er zwar lediglich über eine Grundschulbildung. Dies hinderte ihn jedoch nicht daran, in der Türkei praktische Arbeitserfahrungen im Verkauf und in der Landwirtschaft zu sammeln. Es ist ihm zuzumuten, sich wieder in seinem Heimatland niederzulassen und eine neue Existenz aufzubauen. Darüber hinaus werden ihm seine nach wie vor in der Türkei lebenden Eltern und zahlreichen Geschwister bei der Wiedereingliederung behilflich sein können. Angesichts der gesamten Umstände ist der Vollzug der Wegweisung - in Übereinstimmung mit der Vorinstanz - auch diesbezüglich als zumutbar zu bezeichnen. Nach dem Gesagten erweist sich Vollzug der Wegweisung auch als zumutbar.</w:t>
      </w:r>
    </w:p>
    <w:p>
      <w:r>
        <w:rPr>
          <w:b/>
        </w:rPr>
        <w:t>E. 7.6</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die durch die Vorinstanz verfügte Wegweisung zu bestätigen. Die Vorinstanz hat deren Vollzug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dem Beschwerdeführer aufzuerlegen (Art. 63 Abs. 1 und 5 VwVG), auf insgesamt Fr. 600.-- festzusetzen (Art. 1 - 3 des Reglements vom 21. Februar 2008 über die Kosten und Entschädigungen vor dem Bundesverwaltungsgericht [VGKE, SR 173.320.2]) und mit dem am 3. Mai 2010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