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D-2647/2014 vom 19. Juni 2014</w:t>
      </w:r>
    </w:p>
    <w:p>
      <w:r>
        <w:t>Bundesverwaltungsgericht, 2014-06-19, DE</w:t>
      </w:r>
    </w:p>
    <w:p>
      <w:r>
        <w:rPr>
          <w:b/>
        </w:rPr>
        <w:t xml:space="preserve">Quelle: </w:t>
      </w:r>
      <w:r>
        <w:t>https://mcp.opencaselaw.ch/entscheid/bvger_D-2647_2014</w:t>
      </w:r>
    </w:p>
    <w:p>
      <w:r>
        <w:t>FR: TAF D-2647/2014 du 19 juin 2014</w:t>
      </w:r>
    </w:p>
    <w:p>
      <w:r>
        <w:t>IT: TAF D-2647/2014 del 19 giugno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Asylgesetzt [AsylG; SR 142.31]; Art. 83 Bst. d Ziff. 1 BGG). Eine solche Ausnahme im Sinne von Art. 83 Bst. d Ziff. 1 BGG liegt nicht vor, weshalb das Bundesverwaltungsgericht endgültig entscheidet.</w:t>
      </w:r>
    </w:p>
    <w:p>
      <w:r>
        <w:rPr>
          <w:b/>
        </w:rPr>
        <w:t>E. 1.2</w:t>
      </w:r>
    </w:p>
    <w:p>
      <w:r>
        <w:t>Der Beschwerdeführer ist legitimiert (Art. 48 Abs. 1 VwVG), und er hat seine Beschwerde gemäss Aktenlage fristgerecht bei der schweizeri­schen Botschaft in Colombo eingereicht (Art. 108 Abs. 1 AsylG i.V.m. Art. 21 Abs. 1 VwVG). Die Beschwerde ist auch formgerecht (Art. 52 Abs. 1 VwVG). Auf die Beschwerde ist demnach einzutreten.</w:t>
      </w:r>
    </w:p>
    <w:p>
      <w:r>
        <w:rPr>
          <w:b/>
        </w:rPr>
        <w:t>E. 1.3</w:t>
      </w:r>
    </w:p>
    <w:p>
      <w:r>
        <w:t>Gestützt auf Art. 33a Abs. 2 VwVG i. V. m. Art. 6 AsylG ergeht der vorliegende Entscheid in deutscher Sprache.</w:t>
      </w:r>
    </w:p>
    <w:p>
      <w:r>
        <w:rPr>
          <w:b/>
        </w:rPr>
        <w:t>E. 2</w:t>
      </w:r>
    </w:p>
    <w:p>
      <w:r>
        <w:t>Mit Beschwerde kann die Verletzung von Bundesrecht (einschliesslich Missbrauch und Überschreitung des Ermessens) sowie die unrichtige und unvollständige Feststellung des Sachverhaltes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(vgl. Art. 111a Abs. 2 AsylG). Gestützt auf Art. 111a Abs. 1 AsylG wurde vorliegend auf die Durchfüh­rung eines Schriftenwechsels verzichtet.</w:t>
      </w:r>
    </w:p>
    <w:p>
      <w:r>
        <w:rPr>
          <w:b/>
        </w:rPr>
        <w:t>E. 4</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(aArt. 12, 19, 20, 41 Abs. 2, 52 und 68 AsylG) in der bisherigen Fassung anwendbar sind. Demnach sind auf den vorliegenden Fall die altrechtlichen Bestimmungen betreffend das Asyl­verfahren anzuwenden.</w:t>
      </w:r>
    </w:p>
    <w:p>
      <w:r>
        <w:rPr>
          <w:b/>
        </w:rPr>
        <w:t>E. 5</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(aArt. 10 Abs. 1 AsylV 1); dies ist vorliegend der Fall.</w:t>
      </w:r>
    </w:p>
    <w:p>
      <w:r>
        <w:rPr>
          <w:b/>
        </w:rPr>
        <w:t>E. 6.1</w:t>
      </w:r>
    </w:p>
    <w:p>
      <w:r>
        <w:t>Das BFM kann ein im Ausland gestelltes Asylgesuch ablehnen, wenn die asylsuchende Person keine Verfolgung glaubhaft machen kann oder ihr die Aufnahme in einem Drittstaat zugemutet werden kann (vgl. Art. 3, Art. 7 und aArt. 52 Abs. 2 AsylG).</w:t>
      </w:r>
    </w:p>
    <w:p>
      <w:r>
        <w:rPr>
          <w:b/>
        </w:rPr>
        <w:t>E. 6.2</w:t>
      </w:r>
    </w:p>
    <w:p>
      <w:r>
        <w:t>Gemäss aArt.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6.3</w:t>
      </w:r>
    </w:p>
    <w:p>
      <w:r>
        <w:t>Mit der Vorinstanz ist festzuhalten, dass den vom Beschwerdeführer geltend gemachten Vorkommnissen keine einreiserelevante Bedeutung zukommt. Das BFM hält richtigerweise fest, dass die sri-lankischen Behörden auch nach dem Ende der kriegerischen Auseinandersetzungen alles daran setzen, ein Wiedererstarken der LTTE zu verhindern, und deshalb nach wie vor gegen ehemalige Führungspersönlichkeiten der LTTE vorgehen würden. Deshalb sei nicht auszuschliessen, dass der Beschwerdeführer auch nach dem Ende des Bürgerkrieges weiterhin unter Beobachtung gestanden habe. Derartigen Massnahmen, die im Zusammenhang mit der Bekämpfung des Terrorismus der LTTE durch die sri-lankischen Behörden zu sehen seien, komme indessen aufgrund der mangelnden Intensität kein Verfolgungscharakter im Sinne von Art. 3 AsylG zu. Auch schliesst sich das Bundesverwaltungsgericht der Ansicht der Vorinstanz an, wonach die vom Beschwerdeführer geltend gemachten Hausbesuche und Bedrohungen sowie die damit verbundenen Beeinträchtigungen aufgrund ihrer Art und Intensität keinen ernsthaften Nachteil im Sinne von Art. 3 AsylG darstellen. Da Massnahmen, die ein Staat ergreift, um sich gegen bewaffnete Angriffe zu wehren, grundsätzlich legitim sind, liegt keine einreiserelevante Verfolgung vor, wenn diese rechtsstaatlich legitimen Zwecken dient. Auch hat die Vorinstanz zu Recht festgestellt, dass sich die aktuelle Situation in Sri Lanka massgeblich verändert hat. Der Krieg zwischen der sri-lankischen Regierung und den LTTE ist im Mai 2009 mit der Niederlage der LTTE zu Ende gegangen. Seither befindet sich das gesamte Land wieder unter Regierungskontrolle und es ist zu keinen terroristischen Aktivitäten der LTTE mehr gekommen. Die Sicherheitslage ist noch nicht in allen Teilen des Landes zufriedenstellend, aber sie hat sich erheblich verbessert. Zwar suchen die sri-lankischen Behörden noch immer Führungspersonen und Kämpfer der LTTE, doch ist der Beschwerdeführer seinen Angaben zufolge nie Mitglied der LTTE gewesen und wurde überdies seit längerem nicht mehr von Sicherheitskräften kontrolliert und belästigt. Das Vorbringen in der Beschwerde, er sei nach der Befragung vom 18. März 2014 von Sicherheitskräften, die auf der Suche nach ihm gewesen seien, bedroht worden, wurde nicht konkretisiert, weshalb nicht weiter darauf einzugehen ist. Auch schliesst sich das Bundesverwaltungsgericht der Ansicht der Vorinstanz an, wonach der Beschwerdeführer aus der geltend gemachten Einschränkung der Bewegungsfreiheit keine Einreiserelevanz herleiten kann.</w:t>
      </w:r>
    </w:p>
    <w:p>
      <w:r>
        <w:rPr>
          <w:b/>
        </w:rPr>
        <w:t>E. 6.4</w:t>
      </w:r>
    </w:p>
    <w:p>
      <w:r>
        <w:t>Somit ist es dem Beschwerdeführer nicht gelungen, eine aktuelle Gefähr­dung im Sinne von Art. 3 AsylG aufzuzeigen, welche die Bewilligung der Einreise in die Schweiz rechtfertigen würde. Die Schutzbedürftigkeit des Beschwerdeführers im Sinne von aArt. 20 i.V.m. Art. 3 AsylG ist nicht gegeben. Im Übrigen ist auch eine Beziehungsnähe des Beschwerdefüh­rers zur Schweiz zu verneinen (aArt. 52 Abs. 2 AsylG). Das BFM hat dem Beschwerdeführer zu Recht die Einreise in die Schweiz nicht bewil­ligt und das Asylgesuch abgelehnt. 7.Aus diesen Erwägungen ergibt sich, dass die angefochtene Verfügung Bundesrecht nicht verletzt und den rechtserheblichen Sachverhalt richtig und vollständig feststellt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