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D-2635/2020 vom 1. März 2021</w:t>
      </w:r>
    </w:p>
    <w:p>
      <w:r>
        <w:t>Bundesverwaltungsgericht, 2021-03-01, FR</w:t>
      </w:r>
    </w:p>
    <w:p>
      <w:r>
        <w:rPr>
          <w:b/>
        </w:rPr>
        <w:t xml:space="preserve">Quelle: </w:t>
      </w:r>
      <w:r>
        <w:t>https://mcp.opencaselaw.ch/entscheid/bvger_D-2635_2020</w:t>
      </w:r>
    </w:p>
    <w:p>
      <w:r>
        <w:t>FR: TAF D-2635/2020 du 1 mars 2021</w:t>
      </w:r>
    </w:p>
    <w:p>
      <w:r>
        <w:t>IT: TAF D-2635/2020 del 1 marzo 2021</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dispositions de la modification du 25 septembre 2015 de la loi du 26 juin 1998 sur l'asile sont entrées en vigueur le 1er mars 2019 (cf. RO 2018 2855). La présente procédure est régie par l'ancien droit (cf. al. 1 des dispositions transitoires de la modification du 25 septembre 2015, RO 2016 3101).</w:t>
      </w:r>
    </w:p>
    <w:p>
      <w:r>
        <w:rPr>
          <w:b/>
        </w:rPr>
        <w:t>E. 1.3</w:t>
      </w:r>
    </w:p>
    <w:p>
      <w:r>
        <w:t>Les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1.4</w:t>
      </w:r>
    </w:p>
    <w:p>
      <w:r>
        <w:t>L'intéressé a qualité pour recourir (cf. art. 48 al. 1 PA). Présenté dans la forme (cf. art. 52 al. 1 PA) et le délai (cf. anc.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sans être lié par les arguments invoqués à l'appui du recours, ni par la motivation retenue par l'autorité de première instance.</w:t>
      </w:r>
    </w:p>
    <w:p>
      <w:r>
        <w:rPr>
          <w:b/>
        </w:rPr>
        <w:t>E. 1.6</w:t>
      </w:r>
    </w:p>
    <w:p>
      <w:r>
        <w:t>En matière d'exécution du renvoi, le Tribunal examine en sus le grief d'inopportunité (art. 112 al. 1 LEI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considère que les motifs d'asile allégués par l'intéressé ne remplissent pas les conditions de vraisemblance de l'art. 7 LAsi. D'abord, les nombreuses contradictions et imprécisions sur des éléments essentiels de sa demande d'asile, et relevées dans la décision entreprise (cf. consid. II, pt. 1, p. 3 s.), n'ont pas été valablement contestées dans le recours. Notamment, si l'intéressé avait effectivement été détenu durant un mois en 1998 par les militaires en raison de ses liens présumés avec les LTTE, il ne fait aucun doute qu'il en aurait fait mention lors de son audition du 6 janvier 2020. Tel n'est pas le cas. A relever également que les auteurs de l'assassinat de son père lui seraient tantôt connus, tantôt inconnus (cf. procès-verbal d'audition [pv.] du 12 juillet 2017, pt. 7.01, pv. du 6 janvier 2020, réponse à la question 45, p. 6). S'agissant des menaces dont il aurait fait l'objet avant son départ du Sri Lanka, l'intéressé aurait donné, selon les différentes versions, quelques fois de l'argent à ses auteurs, ou alors à deux reprises, ou encore à une seule occasion. Interrogé à propos de ces contradictions, il n'a donné aucune explication convaincante (cf. pv. du 6 janvier 2020, réponse à la question 114). A relever également que ses déclarations quant aux dates de ces événements sont caractérisées par une grande imprécision, les menaces ayant commencé en 2015 ou en 2016, avant ou après son séjour en E._______ (cf. pv. du 6 janvier 2020, réponses aux questions 45, 67, 68, 86 et 89). De plus, s'il avait quitté le district de C._______ pour se rendre à F_______, en 1995, en raison des recherches dont il faisait l'objet de la part des autorités militaires, il l'aurait déclaré déjà au moment de son audition du 12 juillet 2017, à tout le moins dans les grandes lignes. Tel n'est pas non plus le cas. Par ailleurs, ne plaide pas en faveur de la crédibilité des allégations de l'intéressé le fait qu'il a mentionné deux dates différentes du décès de sa soeur, à savoir 2013 et 2015. Il s'agit là pourtant d'un événement essentiel de son récit, puisque c'est en raison de sa présence à l'enterrement de sa soeur qu'il aurait été repéré, dénoncé et finalement menacé. L'explication faite au stade du recours selon laquelle ces invraisemblances auraient pour origine tant la peur que les états physiques et traumatiques dans lesquels il se serait trouvé lors de ses auditions, ne trouve aucune assise dans les procès-verbaux et n'est nullement documentée médicalement et, faute d'indices sérieux, paraît avancée pour les seuls besoins de la cause.</w:t>
      </w:r>
    </w:p>
    <w:p>
      <w:r>
        <w:rPr>
          <w:b/>
        </w:rPr>
        <w:t>E. 3.2</w:t>
      </w:r>
    </w:p>
    <w:p>
      <w:r>
        <w:t>Le Tribunal ne fait pas non plus sienne l'affirmation selon laquelle l'intéressé serait menacé par les autorités sri-lankaises en raison de son appartenance à une famille connue pour ses activités en faveur des LTTE. Si tel avait été le cas, le recourant aurait fait l'objet soit de recherches entre 1998 et 2015 (ou 2016), soit de mesures plus coercitives encore. Or, il est retourné dans sa région d'origine, à G._______, sis dans le district de C._______, après son hospitalisation à D._______, en 2000, y a vécu sans prendre de mesures de protection particulière, travaillant comme indépendant dans une épicerie et effectuant des transports de personnes et de marchandises, se mariant en [date du mariage] et donnant naissance à trois enfants, s'exposant ainsi publiquement. L'explication à l'absence de problème, à savoir que les militaires ignoraient où il se trouvait, n'emporte pas la conviction (cf. pv. du 6 janvier 2020, réponse à la question 59). A cela s'ajoute qu'il a demandé et obtenu sans aucun problème un passeport à D._______, en 2015, après avoir produit une copie de sa carte d'identité, un acte de naissance, une photo et un écrit d'un juge de paix (cf. pv. du 6 janvier 2020, réponses aux questions 13 ss.). Il s'est également rendu en E._______ et est revenu dans son pays sans rencontrer de problème. Enfin, le motif à l'origine de son départ du Sri Lanka, à savoir les deux menaces à son encontre émises soit par des hommes masqués, soit par des militaires, selon les versions, n'apparaît pas crédible. En tout état de cause, ces prétendues menaces ne sont pas d'une intensité telle qu'elles puissent être qualifiées de sérieux préjudices au sens de l'art. 3 LAsi, dès lors qu'elle se sont produites qu'à deux reprises depuis l'enterrement de sa soeur (2013 ou 2015) jusqu'à son départ de la région, en janvier 2017. De plus, après avoir donné de l'argent aux auteurs de ces menaces lors de la seconde rencontre, l'intéressé n'a plus été inquiété. Si les militaires l'avaient réellement considéré comme une personne susceptible de présenter un danger ou une menace pour eux, ils l'auraient immédiatement arrêté. En outre, prétendument menacé la dernière fois en juin 2016, le recourant n'aurait pas attendu sept mois pour quitter la région, s'il s'était vraiment senti en danger. L'explication selon laquelle il devait encore procéder à la vente de véhicules ne correspond pas au comportement d'une personne qui serait menacée de sérieux préjudices par les autorités (cf. pv. du 6 janvier 2020, réponse à la question 96). Au vu de ce qui précède, il apparait que, même vraisemblables par hypothèse, les problèmes rencontrés avec les militaires devraient être considérés comme des actes crapuleux et non pertinents en matière d'asile.</w:t>
      </w:r>
    </w:p>
    <w:p>
      <w:r>
        <w:rPr>
          <w:b/>
        </w:rPr>
        <w:t>E. 3.3</w:t>
      </w:r>
    </w:p>
    <w:p>
      <w:r>
        <w:t>En définitive, les éléments plaidant pour l'absence de vraisemblance des faits allégués l'emportent clairement sur ceux qui parlent en leur faveur, de sorte que les motifs d'asile antérieurs au départ du Sri Lanka ne remplissent ni les exigences de haute probabilité posées par l'art. 7 LAsi, ni les conditions de l'art. 3 LAsi.</w:t>
      </w:r>
    </w:p>
    <w:p>
      <w:r>
        <w:rPr>
          <w:b/>
        </w:rPr>
        <w:t>E. 3.4</w:t>
      </w:r>
    </w:p>
    <w:p>
      <w:r>
        <w:t>S'agissant de la photo produite, censée démontrer des recherches postérieures à son départ du pays, elle ne comporte aucune date, de sorte qu'il n'est pas possible de déterminer à quel moment elle a été prise. Ensuite, elle représente deux personnes en civil et deux policiers, rien n'indiquant que l'intéressé pourrait être concerné par cette visite. Le moyen en question n'est donc pas probant. En outre, son frère n'aurait assurément pas pris le risque d'immortaliser cette scène, au risque d'être pris sur le fait et de rencontrer lui-même des problèmes. Enfin, compte tenu de l'absence de profil politique de l'intéressé, il est invraisemblable qu'il puisse faire l'objet de recherches, respectivement d'un mandat d'amener plus de deux ans après son départ du pays. Quant aux autres moyens de preuve produits, à savoir l'affidavit de son épouse, il ne revêt qu'une valeur probante très limitée, compte tenu des possibilités de collusion et, de leur côté, l'acte de décès de son père et l'article de journal y relatif concernent des faits incontestés.</w:t>
      </w:r>
    </w:p>
    <w:p>
      <w:r>
        <w:rPr>
          <w:b/>
        </w:rPr>
        <w:t>E. 4.1</w:t>
      </w:r>
    </w:p>
    <w:p>
      <w:r>
        <w:t>Le recourant, qui a déclaré ne pas être membre des LTTE (cf. pv. du6 janvier 2020, réponse à la question 49), n'a pas établi à satisfaction de droit l'existence de mesures étatiques prises à son encontre en raison de liens, avérés ou supposés, avec ledit mouvement ou pour d'autres motifs jusqu'à son départ du Sri Lanka, le 4 juin 2017, et n'a allégué aucune activité d'opposition depuis lors. Aussi, rien n'indique qu'il se serait engagé dans des activités politiques en exil contre le régime, dans le but de ranimer le mouvement des séparatistes tamouls (cf. arrêt de référence du Tribunal E-1866/2015 du 15 juillet 2016 consid. 8.4.1, 8.4.2, 8.4.3, 8.5.1, 8.5.2 et 8.5.4). Dans cette mesure et compte tenu du fait qu'il n'a pas rendu crédible l'existence de recherches à son encontre avant son départ du pays, il peut être raisonnablement exclu que son nom figure sur une « Stop List » utilisée par les autorités à l'aéroport de D._______, sur laquelle sont répertoriés les noms de personnes ayant une relation avec les LTTE. Il n'y a donc pas lieu d'entreprendre de nouvelles mesures d'instruction sur place par l'intermédiaire de la représentation suisse et la demande faite en ce sens doit être rejetée.</w:t>
      </w:r>
    </w:p>
    <w:p>
      <w:r>
        <w:rPr>
          <w:b/>
        </w:rPr>
        <w:t>E. 4.2</w:t>
      </w:r>
    </w:p>
    <w:p>
      <w:r>
        <w:t>En outre, il ne saurait pas non plus se prévaloir de l'interpellation d'une employée à l'Ambassade de Suisse à Colombo, en novembre 2019, ayant entraîné un incident diplomatique entre ces deux pays, pour se voir reconnaître la qualité de réfugié. En effet, les échanges diplomatiques entre ces deux pays se sont entre-temps normalisés et l'employée en question n'a fourni aucune donnée sensible au sujet de requérants d'asile sri-lankais séjournant en Suisse.</w:t>
      </w:r>
    </w:p>
    <w:p>
      <w:r>
        <w:rPr>
          <w:b/>
        </w:rPr>
        <w:t>E. 4.3</w:t>
      </w:r>
    </w:p>
    <w:p>
      <w:r>
        <w:t>N'étant pas en possession d'un document de voyage valable lui permettant de retourner dans son pays d'origine, il pourrait attirer l'attention des autorités. En effet, un retour au Sri Lanka sans passeport valable pourrait être considéré comme preuve d'une sortie antérieure du pays sans ce document, ce qui constitue une infraction selon les dispositions légales sri-lankaises (cf. art. 34 ss. de l' « Act Immigrants and Emigrants »). Toutefois, il s'agit habituellement d'une contravention sanctionnée par une amende de 50'000 à 100'000 roupies, ce qui ne saurait être considéré comme un sérieux préjudice au sens de l'art. 3 al. 2 LAsi.</w:t>
      </w:r>
    </w:p>
    <w:p>
      <w:r>
        <w:rPr>
          <w:b/>
        </w:rPr>
        <w:t>E. 4.4</w:t>
      </w:r>
    </w:p>
    <w:p>
      <w:r>
        <w:t>Au vu de ce qui précède, le recourant ne peut se prévaloir d'une crainte fondée persécution future en cas de retour dans son pays d'origine, de sorte que son recours en matière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l'espèce réalisée, le Tribunal est tenu, de par la loi, de confirmer cette mesure.</w:t>
      </w:r>
    </w:p>
    <w:p>
      <w:r>
        <w:rPr>
          <w:b/>
        </w:rPr>
        <w:t>E. 6.1</w:t>
      </w:r>
    </w:p>
    <w:p>
      <w:r>
        <w:t>L'exécution du renvoi est ordonnée si elle est licite, possible et peut raisonnablement être exigée. Si ces conditions ne sont pas réunies, l'admission provisoire doit être prononcée (cf. art. 83 al. 1 LEI).</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7.3.2</w:t>
      </w:r>
    </w:p>
    <w:p>
      <w:r>
        <w:t>En l'occurrence, le recourant n'a pas établi avoir le profil d'une personne pouvant intéresser défavorablement les autorités sri-lankaises, ni démontré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 Certes, dans son recours, l'intéressé s'est référé à un arrêt de la CourEDH du 26 janvier 2017 (affaire X c. Suisse [requête n° 16744/14]), concluant à une violation de l'art. 3 CEDH. Cette affaire n'est cependant pas similaire à la sienne, l'arrêt en question concernant un ancien membre des LTTE soumis par le passé à de mauvais traitements dans son pays d'origine, ce qui n'est manifestement pas le cas du recourant.</w:t>
      </w:r>
    </w:p>
    <w:p>
      <w:r>
        <w:rPr>
          <w:b/>
        </w:rPr>
        <w:t>E. 7.4</w:t>
      </w:r>
    </w:p>
    <w:p>
      <w:r>
        <w:t>Ainsi,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TAF E-1866/2015 du 15 juillet 2016 consid. 13).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 (cf. arrêt du Tribunal E-4009/2020 du 8 septembre 2020, p. 8).</w:t>
      </w:r>
    </w:p>
    <w:p>
      <w:r>
        <w:rPr>
          <w:b/>
        </w:rPr>
        <w:t>E. 8.3</w:t>
      </w:r>
    </w:p>
    <w:p>
      <w:r>
        <w:t>En outre, il ne ressort du dossier aucun élément dont on pourrait inférer que l'exécution du renvoi impliquerait une mise en danger concrète du recourant. En effet, l'intéressé est né et a vécu dans le district de C._______ où l'exécution du renvoi des requérants d'asile est en principe raisonnablement exigible. De plus, il dispose d'une solide expérience professionnelle en tant qu'indépendant et pourra compter, d'une part, sur un vaste réseau familial, notamment sa femme et ses enfants et, d'autre part, sur les revenus de son magasin, soit autant de facteurs susceptibles de lui faciliter une réintégration dans son pays d'origine et qu'il n'a pas valablement mis en cause dans le recours.</w:t>
      </w:r>
    </w:p>
    <w:p>
      <w:r>
        <w:rPr>
          <w:b/>
        </w:rPr>
        <w:t>E. 8.4.1</w:t>
      </w:r>
    </w:p>
    <w:p>
      <w:r>
        <w:t>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à savoir les soins de médecine générale et d'urgence absolument nécessaires à la garantie de la dignité humaine (Gabrielle Steffen, Soins essentiels : un droit fondamental qui transcende les frontières ?, 2018, ch. 2.4 p. 13 ss et réf. cit.). Dès lors,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w:t>
      </w:r>
    </w:p>
    <w:p>
      <w:r>
        <w:rPr>
          <w:b/>
        </w:rPr>
        <w:t>E. 8.4.2</w:t>
      </w:r>
    </w:p>
    <w:p>
      <w:r>
        <w:t>En l'espèce, selon les documents médicaux produits, le recourant a été opéré en Suisse le (...) 2020 suite à un rétrécissement posttraumatique de son urètre. Il ne ressort pas que le suivi du traitement ait nécessité des soins particuliers ni que des complications se soient produites. Il y a lieu de rappeler qu'il a déjà été pris en charge à D._______ où il a été hospitalisé, puis soumis à des contrôles réguliers, à raison de chaque quinze jours (cf. pv. du 6 janvier 2020, réponse à la question 45). Dès lors, les affections en question ne constituent pas un obstacle à l'exigibilité de l'exécution de son renvoi. Rien ne permet de considérer qu'en l'état, le suivi du traitement ne serait pas garanti dans son pays d'origine. Au vu des considérants précédents, l'argument selon lequel il ne pourrait pas, en cas de nécessité, avoir accès à des soins au Sri Lanka en raison de son profil politique tombe à faux et doit donc être écarté.</w:t>
      </w:r>
    </w:p>
    <w:p>
      <w:r>
        <w:rPr>
          <w:b/>
        </w:rPr>
        <w:t>E. 8.5</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8.6</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S'avérant manifestement infondé, il est rejeté dans une procédure à juge unique, avec l'approbation d'un second juge (cf. art. 111 let. e LAsi).</w:t>
      </w:r>
    </w:p>
    <w:p>
      <w:r>
        <w:rPr>
          <w:b/>
        </w:rPr>
        <w:t>E. 11.1</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