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D-2635/2011 vom 6. Februar 2012</w:t>
      </w:r>
    </w:p>
    <w:p>
      <w:r>
        <w:t>Bundesverwaltungsgericht, 2012-02-06, DE</w:t>
      </w:r>
    </w:p>
    <w:p>
      <w:r>
        <w:rPr>
          <w:b/>
        </w:rPr>
        <w:t xml:space="preserve">Quelle: </w:t>
      </w:r>
      <w:r>
        <w:t>https://mcp.opencaselaw.ch/entscheid/bvger_D-2635_2011</w:t>
      </w:r>
    </w:p>
    <w:p>
      <w:r>
        <w:t>FR: TAF D-2635/2011 du 6 février 2012</w:t>
      </w:r>
    </w:p>
    <w:p>
      <w:r>
        <w:t>IT: TAF D-2635/2011 del 6 febbraio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anders bestimmt (Art. 37 VGG und Art. 6 AsylG).</w:t>
      </w:r>
    </w:p>
    <w:p>
      <w:r>
        <w:rPr>
          <w:b/>
        </w:rPr>
        <w:t>E. 1.3</w:t>
      </w:r>
    </w:p>
    <w:p>
      <w:r>
        <w:t>Die Amtssprachen des Bundes sind das Deutsche, Französische und Italienische (vgl. Art. 70 Abs. 1 der Bundesverfassung der Schweizerischen Eidgenossenschaft vom 18. April 1999 [BV, SR 101]) Die Beschwerde ist nicht in einer Amtssprache abgefasst. Das Bundesverwaltungsgericht hat folglich aus prozessökonomischen Gründen ohne präjudizielle Wirkung vorliegend auf eine Rückweisung der Beschwerde und das Einfordern einer Beschwerdeverbesserung beziehungsweise Übersetzung der zweiseitigen Eingabe vom 9. Februar 2011 verzichtet. Nach erfolgter amtlicher Übersetzung der spanischsprachigen Eingabe sind die Rechtsmittelanträge bekannt und hinreichend begründet. Der vorliegende Entscheid ergeht in deutscher Sprache (vgl. Art. 33a Abs. 2 VwVG i.V.m. Art. 37 VGG).</w:t>
      </w:r>
    </w:p>
    <w:p>
      <w:r>
        <w:rPr>
          <w:b/>
        </w:rPr>
        <w:t>E. 1.4</w:t>
      </w:r>
    </w:p>
    <w:p>
      <w:r>
        <w:t>Die Beschwerde ist frist- und - mit Ausnahme des genannten sprachlichen Mangels - formgerecht eingereicht (Art. 108 Abs. 1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In formeller Hinsicht ist zunächst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(vgl.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(vgl. BVGE a.a.O. E. 5.7). Schliesslich ist das Bundesamt in jedem Fall gehalten, das Absehen von einer Befragung in der Verfügung über das Asylgesuch zu begründen (vgl. BVGE a.a.O. E. 5.6 sowie 5.7).</w:t>
      </w:r>
    </w:p>
    <w:p>
      <w:r>
        <w:rPr>
          <w:b/>
        </w:rPr>
        <w:t>E. 4.2</w:t>
      </w:r>
    </w:p>
    <w:p>
      <w:r>
        <w:t>Im vorliegenden Fall wurden die Beschwerdeführenden von der schweizerischen Vertretung in Bogotá zu ihrem Asylgesuch vom 21. Dezember 2009 nicht befragt. Eine Anhörung fand nicht statt, da einerseits das BFM aufgrund der Aktenlage, namentlich der schriftlichen Begründung des Asylgesuchs sowie der beigelegten ausführlichen Dokumentation, den entscheidrelevanten Sachverhalt als erstellt und folglich eine Anhörung als nicht notwendig erachtete sowie andererseits, weil die Botschaft aus gerichtsnotorischen und mithin nachvollziehbaren Kapazitätsgründen dazu nicht in der Lage war. Den Beschwerdeführenden wurde indessen mit Zwischenverfügung des BFM vom 6. Oktober 2010 Gelegenheit zur weiteren Konkretisierung ihrer Asylgründe sowie das rechtliche Gehör im Hinblick auf die vom Bundesamt in Erwägung gezogene Abweisung des Asylgesuchs gewährt; die Beschwerdeführenden haben gestützt darauf keine weitere Stellungnahme abgegeben und mithin auf diesen Anspruch verzichtet. Aufgrund der einlässlichen Ausführungen der Beschwerdeführenden in ihrem schriftlichen Asylgesuch und den weiteren Eingaben sowie der zahlreichen von ihnen eingereichten Beweismittel erscheint sodann der etscheidwesentliche Sachverhalt - wie das BFM in der angefochtenen Verfügung zu Recht ausführt - als genüglich abgeklärt. Schliesslich hat das BFM in seiner Zwischenverfügung vom 6. Oktober 2010 sowie der angefochtenen Verfügung vom 5. April 2011 das Absehen von persönlichen Anhörungen begründet. Bei dieser Sachlage ist festzuhalten, dass das BFM den verfahrensrechtlichen Anforderungen Genüge getan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5.2</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5.3</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welche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Nach der Prüfung der Akten gelangt das Bundesverwaltungsgericht zunächst zum Schluss, dass die Vorinstanz zutreffend festgestellt hat, die Beschwerdeführenden hätten in ihrem Gesuch keine besonders nahen Beziehungen zur Schweiz geltend gemacht. Im Weiteren hat das Bundesamt zu Recht erwogen, dass es den Beschwerdeführenden zuzumuten sei, in einem anderen Land um Asylgewährung nachzusuchen (vgl. Art. 52 Abs. 2 AsylG). So sind beispielsweise die Nachbarstaaten Brasilien, Ecuador, Panama und Peru Vertragsparteien sowohl der FK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Non-Refoulements von Art. 33 FK, auch wenn als Einschränkung festgestellt werden muss, dass es in den Grenzgebieten - insbesondere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Insgesamt ergeben sich demnach keine Anhaltspunkte, die darauf schliessen liessen, es sei den Beschwerdeführenden praktisch unmöglich oder objektiv unzumutbar, sich in einen anderen Staat, insbesondere einen der Nachbarstaaten Kolumbiens, zu begeben (vgl. EMARK 2004 Nr. 20; 1997 Nr. 15 E. 2f S. 132). Dies gilt umso mehr, als aus den Akten ersichtlich ist, dass es sich bei den Beschwerdeführenden nicht um landesweit bekannte Persönlichkeiten handelt, die aufgrund ihrer besonders exponierten Stellung auch bei einer Flucht ins nahe Ausland allenfalls befürchten müssten, weiterhin verfolgt zu werden.</w:t>
      </w:r>
    </w:p>
    <w:p>
      <w:r>
        <w:rPr>
          <w:b/>
        </w:rPr>
        <w:t>E. 6.2</w:t>
      </w:r>
    </w:p>
    <w:p>
      <w:r>
        <w:t>In der Beschwerde vom 30. April 2011 macht die Beschwerdeführerin eine schwerwiegende Angstsituation geltend, verbunden mit der ständigen Furcht, in Kolumbien verfolgt und lebensgefährlich bedroht zu werden. Um ihr Leben und dasjenige ihrer Familie vor der intensiven und brutalen Verfolgung durch ihren ehemaligen Freund zu schützen, sah sich die Beschwerdeführerin demnach schon mehrere Male gezwungen, für sich und ihre Familie auch ausserhalb ihres Wohnsitzortes, dauerhaften Schutz zu suchen. Zu den auf Beschwerdeebene geltend gemachten Vorbringen ist zu sagen, dass sie den bereits von der Vorinstanz beurteilten Sachverhalt nicht zu ändern vermögen. Bei dieser Sachlage kann letztlich offen bleiben, ob sich die Beschwerdeführenden der geltend gemachten Verfolgung - welcher letztendlich, wie von der Vorinstanz korrekt ausgeführt, ein privater Streit ohne asylrechtliche Relevanz im Sinne von Art 3 AsylG zu Grunde liegt - in Kolumbien allenfalls durch eine innerstaatliche Wohnsitzverlegung dauerhaft entziehen können.</w:t>
      </w:r>
    </w:p>
    <w:p>
      <w:r>
        <w:rPr>
          <w:b/>
        </w:rPr>
        <w:t>E. 6.3</w:t>
      </w:r>
    </w:p>
    <w:p>
      <w:r>
        <w:t>Nach dem Gesagten ist zusammenfassend festzuhalten, dass die Beschwerdeführenden aufgrund der Akten über keine konkrete Beziehungsnähe zur Schweiz verfügen, hingegen aber die Möglichkeit der anderweitigen Schutzsuche haben. Unter diesen Umständen hat die Vorinstanz zu Recht die Erteilung der Einreisebewilligung verweigert und die Asylgesuche abgewiesen.</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die Kosten an sich den Beschwerdeführenden aufzuerlegen (Art. 63 Abs. 1 VwVG); aus verwaltungsökonomischen Gründen wird indessen in Anwendung von Art. 6 des Reglements vom 21. Februar 2008 über die Kosten und Entschädigungen vor dem Bundesverwaltungsgericht (VGKE, SR 173.320.2) auf das Erheben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