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D-262/2017 vom 1. Mai 2017</w:t>
      </w:r>
    </w:p>
    <w:p>
      <w:r>
        <w:t>Bundesverwaltungsgericht, 2017-05-01, DE</w:t>
      </w:r>
    </w:p>
    <w:p>
      <w:r>
        <w:rPr>
          <w:b/>
        </w:rPr>
        <w:t xml:space="preserve">Quelle: </w:t>
      </w:r>
      <w:r>
        <w:t>https://mcp.opencaselaw.ch/entscheid/bvger_D-262_2017</w:t>
      </w:r>
    </w:p>
    <w:p>
      <w:r>
        <w:t>FR: TAF D-262/2017 du 1 mai 2017</w:t>
      </w:r>
    </w:p>
    <w:p>
      <w:r>
        <w:t>IT: TAF D-262/2017 del 1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sich die Vorbringen des Beschwerdeführers hinsichtlich seiner sexuellen Versklavung als glaubhaft erwiesen haben, ist zu prüfen, ob diese den Anforderungen an die Flüchtlingseigenschaft im Sinne von Art. 3 AsylG genügen.</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(vgl.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w:t>
      </w:r>
    </w:p>
    <w:p>
      <w:r>
        <w:rPr>
          <w:b/>
        </w:rPr>
        <w:t>E. 4.2</w:t>
      </w:r>
    </w:p>
    <w:p>
      <w:r>
        <w:t>Die in Art. 3 Abs. 1 AsylG und Art. 1 A Ziff. 2 FK erwähnten fünf Verfolgungsmotive (Rasse, Religion, Nationalität, Zugehörigkeit zu einer bestimmten sozialen Gruppe und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w:t>
      </w:r>
    </w:p>
    <w:p>
      <w:r>
        <w:rPr>
          <w:b/>
        </w:rPr>
        <w:t>E. 5</w:t>
      </w:r>
    </w:p>
    <w:p>
      <w:r>
        <w:t>Die Vorinstanz geht davon aus, dass dem Beschwerdeführer ein "real risk" im Sinne von Art. 3 EMRK drohe, falls er in sein Heimatland zurückkehren würde, verneint aber die Asylrelevanz der drohenden Verfolgung mangels entsprechender Verfolgungsmotivation.</w:t>
      </w:r>
    </w:p>
    <w:p>
      <w:r>
        <w:rPr>
          <w:b/>
        </w:rPr>
        <w:t>E. 5.1</w:t>
      </w:r>
    </w:p>
    <w:p>
      <w:r>
        <w:t>Ersteres erscheint als zutreffend. Hingegen lässt sich die Zugehörigkeit des Beschwerdeführers zu einer bestimmten sozialen Gruppe im Zusammenhang mit seinem Schicksal als Tanzknabe zumindest für die Jahre der bereits erlittenen Übergriffe in Afghanistan nicht verneinen. So wurde er als junger Knabe zur sexuellen Handlungen gezwungen und immer wieder brutal gefoltert. Die zwangsweise ausgeübten homosexuellen Praktiken verstiessen gegen die vorherrschenden Moralvorstellungen. Seine Person wurde gezielt verfolgt. Die damit einhergehende damalige gesellschaftliche Stigmatisierung ist in Anbetracht der Lage vor Ort offensichtlich. Insoweit wurde er wegen äusserer oder innerer Merkmale, die untrennbar mit seiner Person verbunden waren, Opfer des Geschilderten. Seine Zugehörigkeit zu einer bestimmten sozialen Gruppe ist mithin klar zu bejahen (vgl. dazu auch Urteil des österreichischen Bundesverwaltungsgericht W 160 1438250-1 vom 3. November 2014 insb. S. 20 f.).</w:t>
      </w:r>
    </w:p>
    <w:p>
      <w:r>
        <w:rPr>
          <w:b/>
        </w:rPr>
        <w:t>E. 5.2</w:t>
      </w:r>
    </w:p>
    <w:p>
      <w:r>
        <w:t>Die asylrechtliche Intensität des Erlebten ist fraglos gegeben. Eine hinreichende staatliche Schutzinfrastruktur stand offensichtlich ebenso wenig zur Verfügung wie eine innerstaatliche Fluchtalternative. Im Zeitpunkt der Flucht vor seinen Peinigern verbunden mit der Ausreise aus Afghanistan und der Asylgesuchseinreichung in der Schweiz erfüllte der Beschwerdeführer mithin die Flüchtlingseigenschaft, da er im Falle der Rückkehr mit erneut drastischen Ahndungsmassnahmen aus asylrelevanten Motiven hätte rechnen müssen.</w:t>
      </w:r>
    </w:p>
    <w:p>
      <w:r>
        <w:rPr>
          <w:b/>
        </w:rPr>
        <w:t>E. 5.3</w:t>
      </w:r>
    </w:p>
    <w:p>
      <w:r>
        <w:t>Fraglich erscheint allenfalls, ob trotz bejahter Stigmatisierung ein ehemaliger Tanzknabe im Falle der Rückkehr auch nach mehreren Jahren nach wie vor als Zugehöriger einer bestimmten und asylrechtlich relevanten sozialen Gruppe anzusehen ist, wobei die Argumente für eine solche Annahme überwiegen dürften. Diese Frage kann vorliegend aber offen gelassen werden.</w:t>
      </w:r>
    </w:p>
    <w:p>
      <w:r>
        <w:rPr>
          <w:b/>
        </w:rPr>
        <w:t>E. 5.4</w:t>
      </w:r>
    </w:p>
    <w:p>
      <w:r>
        <w:t>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Praxis (vgl. BVGE 2007/31 E. 5.4 S. 380 f., mit weiteren Hinweisen, insbesondere EMARK 1995 Nr. 16 E. 6d und EMARK 2001 Nr. 3) auf die entsprechende Formulierung der Ausnahmebestimmung von Art. 1C Ziff. 5 Abs. 2 FK.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Bezüglich einer allfälligen Anwendbarkeit von Art. 1C Ziff. 5 Abs. 2 FK ist auf die Ausführungen in EMARK 1999 Nr. 7 (E. 4.d.aa S. 46 f., bestätigt in BVGE 2009/51 E. 4.2.7 S. 746 f.) zu verweisen. Danach kann sich auf zwingende Gründe nur berufen, wer im Zeitpunkt der Einreise in die Schweiz sämtliche Voraussetzungen für die Anerkennung der Flüchtlingseigenschaft erfüllt hatte.</w:t>
      </w:r>
    </w:p>
    <w:p>
      <w:r>
        <w:rPr>
          <w:b/>
        </w:rPr>
        <w:t>E. 5.5</w:t>
      </w:r>
    </w:p>
    <w:p>
      <w:r>
        <w:t>Dies trifft vorliegend zu. Der Beschwerdeführer als soeben geflohener Tanzknabe hätte im Zeitpunkt der Asylgesuchseinreichung mit entsprechenden Sanktionen rechnen müssen, wäre er in sein Heimatland zurückgekehrt, und zwar wegen der Zugehörigkeit zu einer sozialen Gruppe. Ob seine Zugehörigkeit zur sozialen Gruppe der nunmehr klar ehemaligen Tanzknaben eine nach wie vor asylrechtliche ist, wurde obenstehend offengelassen, da seine schwere Langzeittraumatisierung offenkundig ist. Eine Rückkehr erscheint für ihn als psychologisch offensichtlich unmöglich. Es liegen zwingende Gründe, welche auch im jetzigen Zeitpunkt zur Asylgewährung führen, vor.</w:t>
      </w:r>
    </w:p>
    <w:p>
      <w:r>
        <w:rPr>
          <w:b/>
        </w:rPr>
        <w:t>E. 6</w:t>
      </w:r>
    </w:p>
    <w:p>
      <w:r>
        <w:t>Aus den vorstehenden Erwägungen ergibt sich, dass der Beschwerdeführer die Flüchtlingseigenschaft im Sinne von Art. 3 AsylG erfüllt. Folglich ist die Beschwerde insofern gutzuheissen, als damit die Aufhebung der angefochtenen Verfügung - soweit die Ablehnung des Asylgesuchs, die Verneinung der Flüchtlingseigenschaft und die Anordnung der Wegweisung betreffend - beantragt wird. Das SEM ist anzuweisen, ihm in der Schweiz Asyl zu gewähren. Bei dieser Sachlage kann davon abgesehen werden, auf weitere Beschwerdevorbringen und die Beweismittel näher einzugehen.</w:t>
      </w:r>
    </w:p>
    <w:p>
      <w:r>
        <w:rPr>
          <w:b/>
        </w:rPr>
        <w:t>E. 7.1</w:t>
      </w:r>
    </w:p>
    <w:p>
      <w:r>
        <w:t>Bei diesem Ausgang des Verfahrens sind keine Kosten zu erheben (Art. 63 Abs. 3 VwVG i.V.m. Art. 37 VGG).</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zum amtlichen Rechtsbeistand ernannte Rechtsvertreter hat für dieses Verfahren am 25. April 2017 eine Kostennote eingereicht, welche im Hinblick auf den zeitlichen Aufwand und die Ausgaben als angemessen erscheint. Hingegen ist der geltend gemachte Stundenansatz von Fr. 250.- zu reduzieren. Wie bereits mit Verfügung vom 1. Februar 2017 mitgeteilt wurde, geht das Bundesverwaltungsgericht bei amtlicher Vertretung in der Regel von einem Stundenansatz von Fr. 100.- bis Fr. 150.- für nichtanwaltliche Vertreterinnen und Vertreter aus, und es wird nur der notwendige Aufwand entschädigt. Demnach ist im vorliegenden Fall der Stundenansatz auf Fr. 150.- zu kürzen. Mithin ist die vom SEM auszurichtende Parteientschädigung unter Berücksichtigung aller massgeblichen Faktoren auf gerundet Fr. 2590.- (inkl. Auslagen und Mehrwertsteuerzuschlag) festzusetzen. Der Anspruch auf das in gleicher Höhe zu bemessende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