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D-2620/2017 vom 18. Juli 2017</w:t>
      </w:r>
    </w:p>
    <w:p>
      <w:r>
        <w:t>Bundesverwaltungsgericht, 2017-07-18, DE</w:t>
      </w:r>
    </w:p>
    <w:p>
      <w:r>
        <w:rPr>
          <w:b/>
        </w:rPr>
        <w:t xml:space="preserve">Quelle: </w:t>
      </w:r>
      <w:r>
        <w:t>https://mcp.opencaselaw.ch/entscheid/bvger_D-2620_2017</w:t>
      </w:r>
    </w:p>
    <w:p>
      <w:r>
        <w:t>FR: TAF D-2620/2017 du 18 juillet 2017</w:t>
      </w:r>
    </w:p>
    <w:p>
      <w:r>
        <w:t>IT: TAF D-2620/2017 del 18 luglio 2017</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2008,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in Verbindung mit Art. 48 Abs. 1 VwVG Parteistellung zukommt (vgl. BVGE 2008/15 E. 3.2, mit weiteren Hinweisen). Der Beschwerdeführer, welcher in der Schweiz ein Asylgesuch stellte und um Erlass eines entsprechenden Asylentscheids in Form einer anfechtbaren Verfügung ersuchte, ist zur Beschwerde legitimiert.</w:t>
      </w:r>
    </w:p>
    <w:p>
      <w:r>
        <w:rPr>
          <w:b/>
        </w:rPr>
        <w:t>E. 1.3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nicht zu beanstanden. 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Das schutzwürdige Interesse des Beschwerdeführers an der Vornahme der allenfalls verzögerten Amtshandlung manifestiert sich vorliegend in den bei den Akten liegenden Eingaben, mit welchen um beförderliche Verfahrenserledigung und Anberaumung einer Anhörung ersucht wurde. Auf die Rechtsverzögerungsbeschwerde ist damit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mit weiteren Hinweisen).</w:t>
      </w:r>
    </w:p>
    <w:p>
      <w:r>
        <w:rPr>
          <w:b/>
        </w:rPr>
        <w:t>E. 3.1</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173 f., mit weiteren Hinweisen).</w:t>
      </w:r>
    </w:p>
    <w:p>
      <w:r>
        <w:rPr>
          <w:b/>
        </w:rPr>
        <w:t>E. 3.2</w:t>
      </w:r>
    </w:p>
    <w:p>
      <w:r>
        <w:t>Von einer Rechtsverzögerung im Sinn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w:t>
      </w:r>
    </w:p>
    <w:p>
      <w:r>
        <w:rPr>
          <w:b/>
        </w:rPr>
        <w:t>E. 4.1</w:t>
      </w:r>
    </w:p>
    <w:p>
      <w:r>
        <w:t>Gemäss Art. 29 Abs. 1 Bst. b AsylG hört das SEM die Asylsuchenden innerhalb von 20 Tagen nach dem Entscheid über die Zuweisung in den Kanton zu den Asylgründen an. Nach den vom Gesetzgeber per 1. Februar 2014 zusätzlich verschärften Behandlungsfristen für das erstinstanzliche Asylverfahren ist über Asylgesuche materiell in der Regel innerhalb von zehn Arbeitstagen nach der Gesuchstellung zu entscheiden (Art. 37 Abs. 2 AsylG).</w:t>
      </w:r>
    </w:p>
    <w:p>
      <w:r>
        <w:rPr>
          <w:b/>
        </w:rPr>
        <w:t>E. 4.2</w:t>
      </w:r>
    </w:p>
    <w:p>
      <w:r>
        <w:t>Das Bundesverwaltungsgericht stellt vorliegend nach Durchsicht der vorinstanzlichen Akten fest, dass die BzP durchgeführt wurde, aber seit der Beendigung des Dublin-Verfahrens vom 26. Mai 2016 während eines Jahres keine Handlungen seitens des SEM im Hinblick auf den Asylentscheid mehr erfolgt sind. Der Termin für die Anhörung ist gemäss den Akten nach wie vor nicht bekannt. Die Ersuchen des Rechtsvertreters um Beschleunigung des Asylverfahrens verbunden mit der Androhung der Einleitung einer Rechtsverzögerungsbeschwerde wurden zwar zweimal beantwortet, führten aber zu keiner Verfahrensfortsetzung.</w:t>
      </w:r>
    </w:p>
    <w:p>
      <w:r>
        <w:rPr>
          <w:b/>
        </w:rPr>
        <w:t>E. 4.3</w:t>
      </w:r>
    </w:p>
    <w:p>
      <w:r>
        <w:t>Dem Bundesverwaltungsgericht ist die hohe Belastung des SEM bekannt. Dass angesichts dieser Pendenzenzahl momentan nicht jedes einzelne Asylverfahren innerhalb der Behandlungsfristen von Art. 37 Abs. 2 AsylG abgeschlossen werden kann, ist nachvollziehbar. Das SEM hat zudem bereits konkrete Massnahmen ergriffen, um den Abbau der hängigen Verfahren zu beschleunigen. Die in der Vernehmlassung dargelegten Überlegungen zur Priorisierung der Verfahren gestützt auf 37b AsylG sind ebenfalls nachvollziehbar. Das Bundesgericht hat in seiner Rechtsprechung zum Rechtsverzögerungsverbot festgehalten, dass eine mangelhafte Organisation oder eine strukturelle Überbelastung übermässig lange Verfahrensdauern nicht rechtfertigen können. Geschäftslast und Personalmangel könnten eine Verletzung von Verfassungsrecht nicht durchbrechen. Es wird entsprechend für die Bejahung einer Verletzung des Rechtsverzögerungsgebots nicht vorausgesetzt, dass der Behörde ein Fehlverhalten oder ein Verschulden vorgeworfen werden kann. Eine Behörde verletzt deshalb das Rechtsverzögerungsverbot auch dann, wenn sie wegen Personalmangels oder Überlastung nicht innert angemessener Frist verfügt (vgl. BGE 130 I 312 E. 5.2, 107 Ib 160 E. 3c und 103 V 190 E. 5c; Urteil des Eidgenössischen Versicherungsgerichts H 2/06 vom 10. April 2006, E. 4.1; vgl. auch Auer/Malinverni/Hottelier, Droit constitutionnel suisse, Bd. II, 2. Aufl. 2006, Rz. 1277 f., Michel Hottelier, Les garanties de procédure, in: Thürer/Aubert/Müller, Verfassungsrecht der Schweiz, Droit constitutionnel suisse, Zürich 2001, Rz. 7). Diese Grundsätze ergeben sich aus dem Umstand, dass das Beschleunigungsgebot von Art. 29 BV ein prozessuales Grundrecht darstellt und damit ein individuelles (Prozess-)Recht der Beschwerdeführenden statuiert. Sie gelten auch für nichtstreitige Verwaltungsverfahren. Das SEM kann sich deshalb zur Rechtfertigung der langen Verfahrensdauer grundsätzlich nicht auf die hohe Geschäftslast und mangelnde Ressourcen berufen. Dies gilt unabhängig davon, ob das SEM alles in seiner Macht Stehende tut, um die pendenten Verfahren so schnell wie möglich und in einer angemessenen Reihenfolge abzubauen.</w:t>
      </w:r>
    </w:p>
    <w:p>
      <w:r>
        <w:rPr>
          <w:b/>
        </w:rPr>
        <w:t>E. 5</w:t>
      </w:r>
    </w:p>
    <w:p>
      <w:r>
        <w:t>Die Rüge der Rechtsverzögerung erweist sich damit als begründet, und die Beschwerde ist gutzuheissen. Die Akten gehen an das SEM zurück, verbunden mit der Anweisung, den Termin für die Anhörung baldmöglichst anzusetzen und das Asylgesuch zügig einer anfechtbaren Verfügung zuzuführen.</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das SEM anzuweisen, dem Beschwerdeführer eine Parteientschädigung in der Höhe von Fr. 400.- auszurichten. Bei der zugesprochenen Höhe ist zur berücksichtigen, dass die Rechtsvertretung im ebenfalls am 5. Mai 2017 eingeleiteten Beschwerdeverfahren D-2622/2017 wiederholt gleichlautende Argumente vorbrachte.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