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D-2620/2010 vom 25. September 2012</w:t>
      </w:r>
    </w:p>
    <w:p>
      <w:r>
        <w:t>Bundesverwaltungsgericht, 2012-09-25, FR</w:t>
      </w:r>
    </w:p>
    <w:p>
      <w:r>
        <w:rPr>
          <w:b/>
        </w:rPr>
        <w:t xml:space="preserve">Quelle: </w:t>
      </w:r>
      <w:r>
        <w:t>https://mcp.opencaselaw.ch/entscheid/bvger_D-2620_2010</w:t>
      </w:r>
    </w:p>
    <w:p>
      <w:r>
        <w:t>FR: TAF D-2620/2010 du 25 septembre 2012</w:t>
      </w:r>
    </w:p>
    <w:p>
      <w:r>
        <w:t>IT: TAF D-2620/2010 del 25 settembre 2012</w:t>
      </w:r>
    </w:p>
    <w:p>
      <w:pPr>
        <w:pStyle w:val="Heading2"/>
      </w:pPr>
      <w:r>
        <w:t>Regeste</w:t>
      </w:r>
    </w:p>
    <w:p>
      <w:r>
        <w:t>Asile et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1.1</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Présenté dans la forme et dans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Zurich/Bâle/Genève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2.1</w:t>
      </w:r>
    </w:p>
    <w:p>
      <w:r>
        <w:t>La crainte de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442-451; ASTRID EPINEY/BERNHARD WALDMANN/ANDREA EGBUNA-JOSS/MAGNUS OESCHGER, Die Anerkennung als Flüchtling im europäischen und schweizerischen Recht, in: Jusletter 26 mai 2008, p. 33; Jurisprudence et informations de la Commission suisse de recours en matière d'asile [JICRA] 2004 no 1 consid. 6a p. 9, JICRA 2000 no 9 consid. 5a p. 78, JICRA 1997 no 10 consid. 6 p. 73 s., arrêts et doctrine cités).</w:t>
      </w:r>
    </w:p>
    <w:p>
      <w:r>
        <w:rPr>
          <w:b/>
        </w:rPr>
        <w:t>E. 2.2</w:t>
      </w:r>
    </w:p>
    <w:p>
      <w:r>
        <w:t>Le recourant dit avoir, à trois reprises, fait l'objet de menaces dans son pays d'origine en raison de sa conversion au christianisme et de son engagement auprès des églises chrétiennes. Or, comme l'ODM l'a relevé à juste titre, ces menaces ne peuvent être qualifiées de crédibles. Exemptes de détails, inconsistantes et stéréotypées, les explications de l'intéressé relatives à ces événements ne sont en effet que de simples affirmations qu'aucun élément concret ne vient étayer. Aussi le comportement que le recourant a adopté suite à ces menaces ne correspond-t-il pas à celui que l'on attend d'une personne en danger, au surplus professionnel de la sécurité de commerces. Compte tenu de sa situation professionnelle, il n'est pas crédible que le recourant n'ait entrepris aucune démarche en vue d'obtenir protection auprès des autorités. L'explication donnée à ce sujet, selon laquelle il avait des raisons de penser que les agressions émanaient clairement d'agents paraétatiques, est du reste contredite par ses déclarations faites lors des deux auditions des 25 février et 10 mars 2008. S'il avait réellement su - ou simplement présumé - que les auteurs des menaces étaient des agents paraétatiques, il l'aurait en effet spontanément déclaré lors de la description des événements et ne se serait pas contenté de répondre qu'il ne connaissait pas ses agresseurs (cf. pv de l'audition du 10 mars 2008, p. 13 i. f.). Enfin, si le recourant avait vraiment été menacé de mort en Turquie, il n'aurait pas pris le temps de déposer une demande de visa touristique auprès du consulat d'Allemagne, puis de séjourner encore un mois dans ce pays sans chercher à y obtenir la protection des autorités. L'explication, selon laquelle il ne se sentait plus en danger après son arrivée dans cet Etat, ne justifie en rien tel comportement qui, du point de vue d'un tiers placé dans les mêmes circonstances, n'est pas celui d'une personne contrainte de demander rapidement protection contre les atteintes portées envers elle. Le recourant ne peut ainsi se prévaloir de sérieux préjudices qui, subis avant son départ de Turquie en janvier 2008, répondraient aux conditions de l'art. 3 LAsi.</w:t>
      </w:r>
    </w:p>
    <w:p>
      <w:r>
        <w:rPr>
          <w:b/>
        </w:rPr>
        <w:t>E. 2.3</w:t>
      </w:r>
    </w:p>
    <w:p>
      <w:r>
        <w:t>Après le prononcé de la décision attaquée, l'intéressé a également déclaré que des membres d'un groupe officieux, proche du gouvernement turc, se seraient rendus dans l'appartement familial à G._______, y dérobant des papiers d'identité et d'assurance de son épouse et de deux de ses enfants. Par ailleurs, les voleurs auraient mis l'appartement à sac. A l'appui de ses allégations, il a déposé une copie d'une annonce parue dans un journal local de G._______. Cela dit, aucun élément susceptible d'accréditer cette thèse n'a été apporté. D'une part, il ne ressort pas du dossier que la famille du recourant ait porté plainte contre de tels faits. D'autre part, le document produit s'avère dépourvu de toute valeur probante. Il ne constitue qu'une annonce de perte de documents parue dans un journal et ne saurait prouver les circonstances dans lesquelles la perte en question serait survenue. S'agissant des deux déménagements de la famille du recourant, causés par les différentes menaces dont celle-ci aurait fait l'objet après le prononcé de la décision attaquée, il apparaît hautement invraisemblable que l'épouse ait choisi de s'établir à B._______ en juin 2010, alors que des menaces avaient, selon les dires de l'intéressé, déjà été proférées à leur encontre dans cette ville. Par ailleurs, en sus du fait que le recourant ne précise pas en quoi ces menaces auraient consisté, il n'est pas non plus crédible que leurs auteurs les aient proférées plus de deux ans après le départ de l'intéressé de Turquie. Si leur intention était de s'en prendre à la famille du recourant, ils auraient pu le faire dès janvier 2008, soit peu après que l'intéressé a quitté son pays d'origine. Les autres membres de la famille étant de confession musulmane, il n'est de surcroît pas plausible qu'ils aient fait l'objet de menaces. Ceci est d'autant plus vrai que, selon les affirmations mêmes de l'intéressé, une fois parti à l'étranger, sa famille aurait été en sécurité. S'ils avaient réellement été menacés à G._______ en juin 2010, les membres de la famille de l'intéressé n'y seraient à l'évidence pas retournés quelques mois plus tard, fin 2010. A ce sujet également, les allégations de menaces qui auraient visé le fils du recourant à B._______ se limitent, elles aussi, à de simples affirmations qu'aucun élément de preuve ne vient étayer. N'a en particulier aucune valeur probante la photocopie de l'attestation du lycée de cette ville, dont le contenu se borne à informer sur la situation d'échec scolaire de l'enfant. Enfin, la photocopie de l'attestation du 24 juin 2010 du contrôle des habitants de G._______ ne fait rien d'autre que confirmer le départ de G._______ de l'épouse et des enfants du recourant. Contrairement à ce qu'affirme celui-ci, elle n'explique en rien les raisons de ce départ. Conséquemment, le recourant ne peut pas non plus, au titre de l'art. 3 LAsi, déduire un droit des faits familiaux allégués après la décision attaquée.</w:t>
      </w:r>
    </w:p>
    <w:p>
      <w:r>
        <w:rPr>
          <w:b/>
        </w:rPr>
        <w:t>E. 3</w:t>
      </w:r>
    </w:p>
    <w:p>
      <w:r>
        <w:t>Cela étant, encore faut-il examiner si l'intéressé peut invoquer des motifs d'asile subjectifs postérieurs à son départ de Turquie. Selon lui, tel serait le cas en raison de son baptême intervenu en mars 2008, d'une part, et de ses activités régulières au sein d'une église évangélique en Suisse, d'autre part.</w:t>
      </w:r>
    </w:p>
    <w:p>
      <w:r>
        <w:rPr>
          <w:b/>
        </w:rPr>
        <w:t>E. 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2000 n° 16 consid. 5a p. 141 s. et réf. cit., JICRA 1995 n° 9 consid. 8c p. 91 et référence citée; WALTER STÖCKLI, Asyl, in: PETER UEBERSAX/BEAT RUDIN/THOMAS HUGI/THOMAS GEISER [Hrsg.] Ausländerrecht, Handbücher für die Anwaltspraxis, Band VIII, 2ème éd., Bâle 2009, p. 530, ch. 11.55 ss; MINH SON NGUYEN, op. cit., Berne 2003, p. 448 ss). Selon l'art. 7 LAsi précité,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 p.352 et JICRA 1995 n° 7 consid. 7 et 8 p. 66 ss). Enfin, celui qui invoque des motifs subjectifs postérieurs doit en règle générale en rapporter la preuve (WALTER STÖCKLI, op. cit., Band VIII, p. 530, ch. 11.148).</w:t>
      </w:r>
    </w:p>
    <w:p>
      <w:r>
        <w:rPr>
          <w:b/>
        </w:rPr>
        <w:t>E. 3.2</w:t>
      </w:r>
    </w:p>
    <w:p>
      <w:r>
        <w:t>Pour l'examen de la qualité de réfugié du recourant, il s'impose de prendre en compte la situation des chrétiens dans son pays d'origine. Le principe de la séparation de l'Etat et de l'Eglise est ancré dans le préambule de la Constitution turque, aux termes duquel les sentiments de religion, qui sont sacrés, ne peuvent en aucun cas être mêlés aux affaires de l'Etat ni à la politique en vertu du principe de la laïcité. La laïcité constitue ainsi l'un des piliers de la République turque. Cette Constitution garantit aussi le principe de la liberté de religion (art. 24) et le principe de l'égalité des individus devant la loi sans distinction de religion (art. 10). Quant au code pénal turc, il prévoit à ses art. 115 et 216 des sanctions contre les auteurs d'infractions à la liberté de religion. Dans les faits, il est notoire que l'expression de la foi chrétienne est souvent entravée en Turquie. Ces dernières années, plusieurs violentes attaques ont eu lieu contre des chrétiens et des bâtiments religieux. Celles-ci étaient principalement dues à des extrémistes nationalistes, qui ont attaqué ou enlevé des ecclésiastiques. Ces actes restent toutefois isolés. Cela dit, force est de constater que les musulmans convertis ne subissent pas de persécution collective de la part des autorités en Turquie.</w:t>
      </w:r>
    </w:p>
    <w:p>
      <w:r>
        <w:rPr>
          <w:b/>
        </w:rPr>
        <w:t>E. 3.3</w:t>
      </w:r>
    </w:p>
    <w:p>
      <w:r>
        <w:t>Après son arrivée en Suisse, le recourant s'est fait baptiser à l'Eglise (...) de I._______ et fréquente régulièrement l'Eglise Evangélique Apostolique de J._______. Force est de constater qu'il vit aujourd'hui sa foi intérieurement, ne se livrant pas à des actes de prosélytisme. Dans son pays d'origine, il n'a jamais exercé une fonction dirigeante au sein de son église. Sa pratique religieuse n'est de toute évidence pas de nature à l'exposer, de manière générale, à l'animosité de ses concitoyens musulmans. A ce titre, les articles de journaux déposés par l'intéressé sur la situation des chrétiens en Turquie ne sont pas de nature à changer l'appréciation qui précède, dans la mesure où ils concernent des cas particuliers sans rapport aucun avec le recourant. Le risque accru, pour le recourant, du fait de son baptême en Suisse et de sa foi chrétienne, d'être soumis, dans son pays d'origine, à des mauvais traitements ou à une condamnation déterminants en matière d'asile, n'apparaît dès lors pas hautement probable.</w:t>
      </w:r>
    </w:p>
    <w:p>
      <w:r>
        <w:rPr>
          <w:b/>
        </w:rPr>
        <w:t>E. 3.4</w:t>
      </w:r>
    </w:p>
    <w:p>
      <w:r>
        <w:t>Au vu de ce qui précède, le recourant ne saurait se prévaloir de motifs subjectifs postérieurs à son départ de Turquie, au sens de l'art. 54 LAsi, pour fonder sa qualité de réfugié.</w:t>
      </w:r>
    </w:p>
    <w:p>
      <w:r>
        <w:rPr>
          <w:b/>
        </w:rPr>
        <w:t>E. 4</w:t>
      </w:r>
    </w:p>
    <w:p>
      <w:r>
        <w:t>Il s'ensuit que le recours, en tant qu'il conteste le refus de l'asile et la qualité de réfugié, doit être rejeté.</w:t>
      </w:r>
    </w:p>
    <w:p>
      <w:r>
        <w:rPr>
          <w:b/>
        </w:rPr>
        <w:t>E. 5</w:t>
      </w:r>
    </w:p>
    <w:p>
      <w:r>
        <w:t>Lorsqu'il rejette la demande d'asile ou refuse d'entrer en matière à ce sujet, l'ODM prononce, en règle générale, le renvoi de Suisse et en ordonne l'exécution ; il tient compte du principe de l'unité de la famille (art. 44 al. 1 LAsi).</w:t>
      </w:r>
    </w:p>
    <w:p>
      <w:r>
        <w:rPr>
          <w:b/>
        </w:rPr>
        <w:t>E. 5.1</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du renvoi n'est pas non plus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En l'espèce, l'exécution du renvoi ne contrevient pas au principe de non-refoulement de l'art. 5 LAsi. Comme exposé plus haut, le recourant n'a pas rendu vraisemblable qu'en cas de retour dans son pays d'origine, il serait exposé à de sérieux préjudices au sens de l'art. 3 LAsi. Concernant les engagements internationaux de la Suisse, il sied d'examiner particulièrement si l'art. 3 CEDH, qui interdit la torture, les peines ou traitements inhumains, trouve ici application.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relève que le recourant n'a pas établi qu'un tel risque pesait sur lui (cf. consid. 2 et 3 supra). Dès lors, l'exécution du renvoi du recourant sous forme de refoulement ne transgresse aucun engagement de la Suisse relevant du droit international, de sorte qu'elle s'avère licite (art. 44 al. 2 LAsi et 83 al. 3 LEtr).</w:t>
      </w:r>
    </w:p>
    <w:p>
      <w:r>
        <w:rPr>
          <w:b/>
        </w:rPr>
        <w:t>E. 5.2.2</w:t>
      </w:r>
    </w:p>
    <w:p>
      <w:r>
        <w:t>L'exécution de la décision n'est pas raisonnablement exigible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En l'espèce, la Turquie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le recourant est en âge et à même de trouver les moyens nécessaires à sa réinstallation dans son pays d'origine. Il est au bénéfice d'une expérience professionnelle et n'a pas allégué de problème de santé particulier. Au demeurant, bien que cela ne soit pas décisif, il dispose d'un réseau familial, constitué de son épouse et de ses enfants, sur lesquels il pourra compter à son retour. Pour ces motifs, l'exécution du renvoi doit être considérée comme raisonnablement exigible.</w:t>
      </w:r>
    </w:p>
    <w:p>
      <w:r>
        <w:rPr>
          <w:b/>
        </w:rPr>
        <w:t>E. 5.2.3</w:t>
      </w:r>
    </w:p>
    <w:p>
      <w:r>
        <w:t>L'exécution n'est pas possible lorsque l'étranger ne peut pas quitter la Suisse pour son Etat d'origine, son Etat de provenance ou un Etat tiers, ni être renvoyé dans un de ces Etats (art. 83 al. 2 LEtr).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5.3</w:t>
      </w:r>
    </w:p>
    <w:p>
      <w:r>
        <w:t>Cela étant, l'exécution du renvoi doit être déclarée conforme aux dispositions légales.</w:t>
      </w:r>
    </w:p>
    <w:p>
      <w:r>
        <w:rPr>
          <w:b/>
        </w:rPr>
        <w:t>E. 6</w:t>
      </w:r>
    </w:p>
    <w:p>
      <w:r>
        <w:t>Il s'ensuit que le recours, en tant qu'il conteste la décision de renvoi et son exécution, doit être également rejeté.</w:t>
      </w:r>
    </w:p>
    <w:p>
      <w:r>
        <w:rPr>
          <w:b/>
        </w:rPr>
        <w:t>E. 7</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Toutefois, dans la mesure où la demande d'assistance judiciaire partielle a été admise par décision incidente du 28 avril 2010, il y a lieu d'y renoncer.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