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D-2617/2025 vom 13. März 2025</w:t>
      </w:r>
    </w:p>
    <w:p>
      <w:r>
        <w:t>Bundesverwaltungsgericht, 2025-03-13, DE</w:t>
      </w:r>
    </w:p>
    <w:p>
      <w:r>
        <w:rPr>
          <w:b/>
        </w:rPr>
        <w:t xml:space="preserve">Quelle: </w:t>
      </w:r>
      <w:r>
        <w:t>https://mcp.opencaselaw.ch/entscheid/bvger_D-2617_2025_d20250313</w:t>
      </w:r>
    </w:p>
    <w:p>
      <w:r>
        <w:t>FR: TAF D-2617/2025 du 13 mars 2025</w:t>
      </w:r>
    </w:p>
    <w:p>
      <w:r>
        <w:t>IT: TAF D-2617/2025 del 13 marzo 2025</w:t>
      </w:r>
    </w:p>
    <w:p>
      <w:pPr>
        <w:pStyle w:val="Heading2"/>
      </w:pPr>
      <w:r>
        <w:t>Regeste</w:t>
      </w:r>
    </w:p>
    <w:p>
      <w:r>
        <w:t>Asyl und Wegweisung | Asyl und Wegweisung; Verfügung des SEM vom 13. März 2025</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Die Beschwerdeführenden sind als Verfügungsadressaten zur Beschwerdeführung legitimiert (Art. 48 Abs. 1</w:t>
      </w:r>
    </w:p>
    <w:p>
      <w:r>
        <w:t>D-2617/2025 Seite 5 VwVG). Auf die frist- und formgerecht eingereichte Beschwerde ist einzu- treten (Art. 105 und 108 Abs. 2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In der Beschwerde werden formelle Rügen erhoben. Diese sind vorab zu beurteilen, da sie allenfalls geeignet wären, eine Kassation der vorin- stanzlichen Verfügung zu bewirken (vgl. BVGE 2013/34 E. 4.2).</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(vgl. BGE 129 I 232 E. 3.2).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Ihre Grenze findet die Untersuchungspflicht in der Mitwirkungspflicht des Asylsuchenden (vgl. Art. 8 AsylG).</w:t>
      </w:r>
    </w:p>
    <w:p>
      <w:r>
        <w:t>D-2617/2025 Seite 6</w:t>
      </w:r>
    </w:p>
    <w:p>
      <w:r>
        <w:rPr>
          <w:b/>
        </w:rPr>
        <w:t>E. 4.3</w:t>
      </w:r>
    </w:p>
    <w:p>
      <w:r>
        <w:t>In der Beschwerde wird gerügt, das SEM habe es unterlassen, Infor- mationen zu den beiden Kindern, namentlich bezüglich der Integration, der sozialen Verwurzelung, der schulischen Situation, des Befindens, des Ge- sundheitszustands, der Entwicklung sowie der sozialen Einbettung, zum Beispiel bei Lehrpersonen, beim Beistand oder bei anderen Fachpersonen einzuholen. Damit habe das SEM die Pflicht zur Sachverhaltsfeststellung verletzt. Darüber hinaus habe die Vorinstanz auch ihre Begründungspflicht verletzt, indem sie keine rechtsgenügliche Abwägung zwischen der Situa- tion der Kinder in der Schweiz und jener in der Türkei vorgenommen habe.</w:t>
      </w:r>
    </w:p>
    <w:p>
      <w:r>
        <w:rPr>
          <w:b/>
        </w:rPr>
        <w:t>E. 4.4</w:t>
      </w:r>
    </w:p>
    <w:p>
      <w:r>
        <w:t>Das SEM hat sowohl den Beschwerdeführer 1 wie auch die Kinder – letztere im Beisein ihres Beistands – angehört. Zudem hat es sich wieder- holt nach ärztlichen Unterlagen und Arztterminen erkundigt und es lagen ihm diverse ärztliche Unterlagen vor. Weiter hat sich die zuständige KESB im Schreiben vom 23. Februar 2024 zuhanden des SEM detailliert zu den Kindern, der Familie und zum Kindeswohl geäussert. Gestützt auf diese Abklärungen und Unterlagen hat das SEM im Rahmen einer Gesamtwür- digung nachvollziehbar und hinreichend differenziert aufgezeigt, weshalb eine Wegweisung der beiden Kinder unter dem Blickwinkel des Kindes- wohls zulässig respektive zumutbar ist. Dass das SEM dabei lediglich ge- prüft hat, ob das Kindeswohl bei einer Rückkehr in die Türkei gefährdet wird, nicht aber, ob der Verbleib in der Schweiz vorteilhafter wäre als eine Rückkehr in die Türkei, entspricht sodann gerade der Rechtsprechung. In der Beschwerde wird diesbezüglich verkannt, dass aus der Kinderrechts- konvention kein Anspruch auf Aufenthalt im Staat mit den für ein Kind vor- teilhaftesten Lebensbedingungen abgeleitet werden kann (vgl. Urteil des BVGer E-11/2020 vom 24. April 2024 E. 9.2.4). Zudem ist nicht zu bean- standen, dass das SEM bei dieser Aktenlage und dem nur kurzen Aufent- halt der Kinder, sprich ohne Hinweise auf eine Verwurzelung und Assimila- tion der Kinder in der Schweiz, keine weitergehenden Abklärungen dazu vorgenommen hat. Im Übrigen darf im Rahmen der Mitwirkungspflicht ver- nünftigerweise erwartet werden, dass die rechtlich vertretenen Beschwer- deführenden (und der Berufsbeistand) entsprechende Vorbringen selbst vortragen respektive glaubhaft machen (wozu sie notabene aufgrund ihrer Mitwirkungspflicht gemäss Art. 8 Abs. 1 AsylG auch verpflichtet sind). Ins- gesamt kann festgehalten werden, dass das SEM seiner Untersuchungs- pflicht hinreichend nachgekommen ist und den Sachverhalt – soweit ent- scheidrelevant – richtig und vollständig festgestellt hat. Zudem ist keine Verletzung der Begründungspflicht zu erkennen.</w:t>
      </w:r>
    </w:p>
    <w:p>
      <w:r>
        <w:t>D-2617/2025 Seite 7</w:t>
      </w:r>
    </w:p>
    <w:p>
      <w:r>
        <w:rPr>
          <w:b/>
        </w:rPr>
        <w:t>E. 4.5</w:t>
      </w:r>
    </w:p>
    <w:p>
      <w:r>
        <w:t>Die formellen Rügen erweisen sich demnach als unbegründet, weshalb keine Veranlassung besteht, die Sache aus formellen Gründen aufzuheben und an die Vorinstanz zurückzuweisen. Das entsprechende Rechtsbegeh- 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6.1</w:t>
      </w:r>
    </w:p>
    <w:p>
      <w:r>
        <w:t>Die Vorinstanz führte zur Begründung ihres Entscheids im Asylpunkt aus, den Vorbringen der Beschwerdeführenden fehle es offensichtlich an der flüchtlingsrechtlichen Relevanz. Die vom Beschwerdeführer 1 geltend gemachte Verfolgung durch die Familie seiner Ex-Frau entspringe keinem nach Art. 3 AsylG definierten asylrechtlich relevanten Motiv. Der Beschwer- deführer 1 sei aber ohnehin nicht auf den Schutz der Schweiz angewiesen. Es handle sich bei der geltend gemachten Verfolgung um eine Verfolgung durch Dritte, weshalb er sich zunächst an die Behörden seines Heimatstaa- tes zu wenden habe. Es sei anzunehmen, dass die Behörden in der Pro- vinz E._______ schutzfähig und -willig seien. Seine Aufzählung der mögli- chen Gründe, warum seine Anzeige nicht weiter durch die türkische Polizei in E._______ verfolgt worden sei, sei nicht überzeugend. Erstens seien es lediglich Vermutungen und zweitens sei die Familie seiner Ex-Frau eben- falls kurdischer Herkunft und angeblich eng mit den staatlichen Behörden, welche angeblich den Anliegen von Personen mit kurdischer Ethnie nicht nachgehen würden, verbunden. Dies stelle einen Widerspruch dar. Dar- über hinaus sei die Darstellung des Ablaufs der Einreichung der Anzeige nicht detailliert, unsubstantiiert und unbelegt. Es wäre dem Beschwerde- führer 1 zuzumuten gewesen, sich mit Nachdruck – allenfalls mit einem Rechtsanwalt oder an einer übergeordneten Stelle – um eine Anzeige zu bemühen. Dies habe er offensichtlich unterlassen. Weiter könne sich der</w:t>
      </w:r>
    </w:p>
    <w:p>
      <w:r>
        <w:t>D-2617/2025 Seite 8 Beschwerdeführer 1 den angeblichen Nachteilen mit einem Wegzug in eine andere Stadt oder in eine andere Provinz entziehen.</w:t>
      </w:r>
    </w:p>
    <w:p>
      <w:r>
        <w:rPr>
          <w:b/>
        </w:rPr>
        <w:t>E. 6.2</w:t>
      </w:r>
    </w:p>
    <w:p>
      <w:r>
        <w:t>In der Beschwerde wird entgegnet, der Beschwerdeführer 1 habe den Angriff durch die Verwandten seiner Ex-Frau zur Anzeige gebracht. Die An- zeige sei in der Folge aber nicht weiterverfolgt worden. Der türkische Staat habe sich folglich schutzunwillig gezeigt. Es sei zu vermuten, dass der Grund hierfür seine Ethnie sei, womit ein flüchtlingsrechtlich relevantes Mo- tiv vorliege. Zudem führe das Vorgefallene zu einem unerträglichen psychi- schen Druck für die beiden Kinder, was sie auch ihrem Beistand gegenüber ausgeführt hätten.</w:t>
      </w:r>
    </w:p>
    <w:p>
      <w:r>
        <w:rPr>
          <w:b/>
        </w:rPr>
        <w:t>E. 7.1</w:t>
      </w:r>
    </w:p>
    <w:p>
      <w:r>
        <w:t>Das Bundesverwaltungsgericht gelangt nach Prüfung der Akten zum Schluss, dass das SEM zu Recht zur Erkenntnis gelangt ist, die geltend gemachten Verfolgungsvorbringen würden den Anforderungen von Art. 3 AsylG an die flüchtlingsrechtliche Beachtlichkeit nicht genügen. Zur Ver- meidung von Wiederholungen kann auf die diesbezüglichen Ausführungen in der angefochtenen Verfügung verwiesen werden (vgl. dort Ziff. II und zusammenfassend oben E. 6.1), zumal die Beschwerdeführenden diesen auf Beschwerdeebene nichts Stichhaltiges entgegensetzen. Ihr einziges, pauschales Argument, die türkischen Behörden seien dem Beschwerde- führer 1 gegenüber nicht schutzwillig, vermag nicht zu überzeugen. Ge- mäss gefestigter Praxis des Bundesverwaltungsgerichts ist davon auszu- gehen, dass die türkischen Behörden in solchen Fällen grundsätzlich schutzfähig und schutzwillig – auch gegenüber der kurdischen Bevölke- rung – sind (vgl. Urteil des BVGer E-1498/2024 vom 19. Juli 2024 E. 7.1). An dieser Einschätzung vermag auch der unsubstantiierte und unbelegte Einwand der Beschwerdeführenden nichts zu ändern. Ohnehin wäre selbst bei Verneinung des Schutzwillens auf die intakte innerstaatliche Schutzal- ternative zu verweisen. Vor diesem Hintergrund ist auch nicht anzuneh- men, die Beschwerdeführenden müssten bei einer Rückkehr Massnahmen erleiden, die einen unerträglichen psychischen Druck bewirken.</w:t>
      </w:r>
    </w:p>
    <w:p>
      <w:r>
        <w:rPr>
          <w:b/>
        </w:rPr>
        <w:t>E. 7.2</w:t>
      </w:r>
    </w:p>
    <w:p>
      <w:r>
        <w:t>Zusammenfassend ist festzuhalten, dass die Vorinstanz zu Recht die Flüchtlingseigenschaft der Beschwerdeführenden verneint und die Asylge- suche abgelehnt hat.</w:t>
      </w:r>
    </w:p>
    <w:p>
      <w:r>
        <w:rPr>
          <w:b/>
        </w:rPr>
        <w:t>E. 8.1</w:t>
      </w:r>
    </w:p>
    <w:p>
      <w:r>
        <w:t>Lehnt das SEM das Asylgesuch ab oder tritt es darauf nicht ein, so verfügt es in der Regel die Wegweisung aus der Schweiz und ordnet den</w:t>
      </w:r>
    </w:p>
    <w:p>
      <w:r>
        <w:t>D-2617/2025 Seite 9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Das SEM hat zutreffend festgehalten, dass das flüchtlingsrechtliche Rückschiebungsverbot von Art. 33 Abs. 1 des Abkommens vom 28. Juli 1951 über die Rechtsstellung der Flüchtlinge (FK, SR 0.142.30) und Art. 5 AsylG hier nicht anwendbar ist. Zudem ergeben sich weder aus den Akten noch aus der Beschwerde konkrete Anhaltspunkte dafür, dass die Be- schwerdeführenden für den Fall einer Ausschaffung in die Türkei dort mit beachtlicher Wahrscheinlichkeit einer nach Art. 3 EMRK oder Art. 1 des Übereinkommens vom 10. Dezember 1984 gegen Folter und andere grau- same, unmenschliche oder erniedrigende Behandlung oder Strafe (FoK, SR 0.105) verbotenen Strafe oder Behandlung ausgesetzt wäre (vgl. auch die Begründung im Asylpunkt zur Furcht der Beschwerdeführenden, in der Türkei ernsthaften Nachteilen ausgesetzt zu werden, oben E. 7.1).</w:t>
      </w:r>
    </w:p>
    <w:p>
      <w:r>
        <w:rPr>
          <w:b/>
        </w:rPr>
        <w:t>E. 9.2.3</w:t>
      </w:r>
    </w:p>
    <w:p>
      <w:r>
        <w:t>Der Vollzug der Wegweisung ist somit zulässig.</w:t>
      </w:r>
    </w:p>
    <w:p>
      <w:r>
        <w:t>D-2617/2025 Seite 10</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In der Beschwerde wird diesbezüglich vorgebracht, der Wegwei- sungsvollzug in die Türkei sei mit dem Kindeswohl nicht vereinbar. So seien die Kinder in der Schweiz in psychologischer Behandlung, hätten sich hier überdurchschnittlich gut integriert, würden deutsch sprechen, hät- ten hier ein Freundesnetz aufgebaut und Anschluss an die (…) gefunden sowie erhielten aufgrund ihres aussergewöhnlichen musikalischen Talents kostenlosen (…). Hier in der Schweiz seien die Kinder glücklich, würden sich sicher fühlen und hätten eine bemerkenswerte positive Entwicklung durchgemacht. Zudem biete die Schweiz ihnen die Chance auf eine konti- nuierliche und hochwertige Bildung. Gleichzeitig hätten sie in der Türkei lediglich Kontakt zum Onkel väterlicherseits und dessen Frau und somit kein soziales Netz. Zudem hätten die Kinder die Angriffe auf ihren Vater miterlebt und daraufhin deutliche Symptome von Angst und Unbehagen verspürt und Schlafstörungen sowie starke Trauer entwickelt. Ihre Mutter habe wiederholt geäussert, dass sie die Kinder nicht behalten wolle, was die Kinder emotional stark belastet habe. Zudem seien sie auf dem Schul- platz in der Türkei ausgegrenzt und rassistisch beleidigt worden. Ein Weg- weisungsvollzug wäre für die beiden Kinder unerträglich und mit einer er- heblichen emotionalen Belastung verbunden.</w:t>
      </w:r>
    </w:p>
    <w:p>
      <w:r>
        <w:rPr>
          <w:b/>
        </w:rPr>
        <w:t>E. 9.3.3</w:t>
      </w:r>
    </w:p>
    <w:p>
      <w:r>
        <w:t>Zunächst ist festzuhalten, dass auch diesbezüglich die zutreffenden vorinstanzlichen Ausführungen zu bestätigen sind (vgl. angefochtene Ver- fügung Ziff. III/2). Es ist nicht davon auszugehen, dass die Beschwerdefüh- renden bei einer Rückkehr in die Türkei aus wirtschaftlichen oder sozialen Gründen in eine existentielle Notlage geraten werden.</w:t>
      </w:r>
    </w:p>
    <w:p>
      <w:r>
        <w:rPr>
          <w:b/>
        </w:rPr>
        <w:t>E. 9.3.4</w:t>
      </w:r>
    </w:p>
    <w:p>
      <w:r>
        <w:t>Sind von einem allfälligen Wegweisungsvollzug Kinder betroffen, so kommt dem Kindeswohl im Rahmen der Zumutbarkeitsprüfung eine ge- wichtige Bedeutung zu. Unter dem Aspekt des Kindeswohls sind sämtliche Umstände einzubeziehen und zu würdigen, die im Hinblick auf eine Weg- weisung wesentlich erscheinen. Dabei können namentlich folgende Krite- rien im Rahmen einer gesamtheitlichen Beurteilung von Bedeutung sein: Alter des Kindes, Reife, Abhängigkeiten, Art (Nähe, Intensität, Tragfähig- keit) seiner Beziehungen, Eigenschaften seiner Bezugspersonen (insbe- sondere Unterstützungsbereitschaft und -fähigkeit), Stand und Prognose</w:t>
      </w:r>
    </w:p>
    <w:p>
      <w:r>
        <w:t>D-2617/2025 Seite 11 bezüglich Entwicklung/Ausbildung, Grad der erfolgten Integration bei ei- 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 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Die Beschwerdeführenden reisten am (…) aus der Türkei aus und am (…) in die Schweiz ein, nachdem sie stets in der Türkei gelebt haben. Die Be- schwerdeführerin 2 war zum Zeitpunkt der Einreise (…) Jahre und der Be- schwerdeführer 3 war (…) Jahre alt. Es kann offensichtlich nicht davon ausgegangen werden, dass sich die Beschwerdeführenden 2 und 3 bei dieser Konstellation in den nicht einmal zwei Jahren, die sie in der Schweiz verbracht haben, sich hier dermassen verwurzelt und stark assimiliert hät- ten, dass von einer Entwurzelung auszugehen wäre, mithin eine Rückkehr unzumutbar erscheinen würde. Vielmehr ist den Akten zu entnehmen, dass die Beschwerdeführenden 2 und 3 den Grossteil ihres Lebens in der Türkei verbracht haben, dort zur Schule gegangen sind und – im Gegensatz zur Schweiz – über familiäre Beziehungen verfügen, zumindest zu ihrem Onkel väterlicherseits und dessen Frau. Den Akten ist zudem zu entnehmen, dass der Beschwerdeführer 1 deren primäre Bezugsperson ist (vgl. bei- spielsweise act. SEM 1281349-62/4). Es ist davon auszugehen, dass sich die Beschwerdeführenden 2 und 3 problemlos in der Türkei wiedereinglie- dern können. Schliesslich können sie bei Bedarf – wie nachfolgend aufge- zeigt – ihre psychologische Behandlung in der Türkei weiterführen. Nach dem Gesagten erweist sich der Vollzug der Wegweisung unter dem Blick- winkel des Kindeswohls als zumutbar. An dieser Einschätzung vermögen auch die Berichte des Berufsbeistands, das Schreiben des Klassenlehrers und das E-Mail der (…)-lehrerin nichts zu ändern, die zwar darlegen, dass sich die Kinder in der Schweiz anstren- gen, glücklich sind und Freunde gefunden haben, die damit aber in keiner Weise eine Verwurzelung in der Schweiz aufzeigen. In diesem</w:t>
      </w:r>
    </w:p>
    <w:p>
      <w:r>
        <w:t>D-2617/2025 Seite 12 Zusammenhang ist erneut darauf hinzuweisen, dass aus der Kinderrechts- konvention gerade kein Anspruch auf Aufenthalt im Staat, in welchem die Kinder am glücklichsten sind respektive die vorteilhaftesten Lebensbedin- gungen vorfinden, abgeleitet werden kann (vgl. oben E. 4.4).</w:t>
      </w:r>
    </w:p>
    <w:p>
      <w:r>
        <w:rPr>
          <w:b/>
        </w:rPr>
        <w:t>E. 9.3.5</w:t>
      </w:r>
    </w:p>
    <w:p>
      <w:r>
        <w:t>In gesundheitlicher Hinsicht ist festzuhalten, dass medizinische Prob- leme nur dann zur Unzumutbarkeit des Wegweisungsvollzugs führen kön- nen, wenn eine notwendige Behandlung im Heimatland nicht zur Verfü- gung steht und die Rückkehr zu einer raschen und lebensgefährdenden Beeinträchtigung des Gesundheitszustandes der betroffenen Person füh- ren würde (vgl. BVGE 2011/50 E. 8.3). Der Beschwerdeführer 1 leidet gemäss den medizinischen Unterlagen an (…), an einer (…), an (…) und verdachtsweise an einer (…). Die Beschwer- deführerin 2 leidet an einer (…), (…) und (…). Der Beschwerdeführer 3 leidet an einer (…) und an (…). Diese gesundheitlichen Beschwerden sind jedoch offensichtlich nicht von solcher Schwere, dass sie einem Wegwei- sungsvollzug entgegenstehen würden. Zudem sind solche psychischen Er- krankungen gemäss konstanter Gerichtspraxis in der Türkei behandelbar (vgl. Urteil des BVGer E-3991/2020 vom 6. Mai 2025 E. 9.2.4 und 9.3.3 ff.). Vor diesem Hintergrund erübrigt es sich auch, weitere Informationen beim KJPD einzuholen. Darüber hinaus ist nicht davon auszugehen, dass die die Beschwerdeführenden aufgrund des Vorfalls vom (…) in der Türkei, bei welchem der Beschwerdeführer 1 vor den Augen seiner Kinder geschlagen worden sei, derart traumatisiert wären, dass eine Rückkehr in die Türkei mit dortiger Therapie nicht zumutbar wäre.</w:t>
      </w:r>
    </w:p>
    <w:p>
      <w:r>
        <w:rPr>
          <w:b/>
        </w:rPr>
        <w:t>E. 9.3.6</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D-2617/2025 Seite 13 Bundesrecht nicht verletzt, den rechtserheblichen Sachverhalt richtig so- wie vollständig feststellt und – soweit diesbezüglich überprüfbar – ange- messen ist. Die Beschwerde ist abzuweisen.</w:t>
      </w:r>
    </w:p>
    <w:p>
      <w:r>
        <w:rPr>
          <w:b/>
        </w:rPr>
        <w:t>E. 11.1</w:t>
      </w:r>
    </w:p>
    <w:p>
      <w:r>
        <w:t>Mit dem vorliegenden Urteil ist das Gesuch um Befreiung von der Kos- tenvorschusspflicht gegenstandslos geworden.</w:t>
      </w:r>
    </w:p>
    <w:p>
      <w:r>
        <w:rPr>
          <w:b/>
        </w:rPr>
        <w:t>E. 11.2</w:t>
      </w:r>
    </w:p>
    <w:p>
      <w:r>
        <w:t>Die Gesuche um Gewährung der unentgeltlichen Prozessführung (Art. 65 Abs. 1 VwVG) und um amtliche Rechtsverbeiständung (Art. 102m AsylG) sind – ungeachtet der dargelegten Bedürftigkeit – abzuweisen, da sich die Beschwerdebegehren entsprechend den vorstehenden Erwägun- gen von vornherein als aussichtslos erwiesen haben.</w:t>
      </w:r>
    </w:p>
    <w:p>
      <w:r>
        <w:rPr>
          <w:b/>
        </w:rPr>
        <w:t>E. 11.3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D-2617/2025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