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D-2616/2020 vom 24. August 2020</w:t>
      </w:r>
    </w:p>
    <w:p>
      <w:r>
        <w:t>Bundesverwaltungsgericht, 2020-08-24, DE</w:t>
      </w:r>
    </w:p>
    <w:p>
      <w:r>
        <w:rPr>
          <w:b/>
        </w:rPr>
        <w:t xml:space="preserve">Quelle: </w:t>
      </w:r>
      <w:r>
        <w:t>https://mcp.opencaselaw.ch/entscheid/bvger_D-2616_2020</w:t>
      </w:r>
    </w:p>
    <w:p>
      <w:r>
        <w:t>FR: TAF D-2616/2020 du 24 août 2020</w:t>
      </w:r>
    </w:p>
    <w:p>
      <w:r>
        <w:t>IT: TAF D-2616/2020 del 24 agosto 2020</w:t>
      </w:r>
    </w:p>
    <w:p>
      <w:pPr>
        <w:pStyle w:val="Heading2"/>
      </w:pPr>
      <w:r>
        <w:t>Regeste</w:t>
      </w:r>
    </w:p>
    <w:p>
      <w:r>
        <w:t>Asyl (ohne Wegweisungsvollzug)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Die Beschwerde ist frist- und formgerecht eingereicht worden. Die Beschwerdeführerin hat für sich und ihr Kind am Verfahren vor dem SEM teilgenommen. Sie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 vorbehältlich nachstehender Erwägung 4 -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Die Beschwerdeführerin und ihr Kind wurden zufolge Unzumutbarkeit des Wegweisungsvollzugs in der Schweiz vorläufig aufgenommen. Am (...) erteilte der Kanton F._______ dem Kind B._______ eine Aufenthaltsbewilligung B, worauf das SEM mit Verfügung vom 15. Juli 2020 feststellte, die vorläufige Aufnahme für B._______ sei erloschen und die angeordnete Wegweisung dahingefallen (vgl. Bst. F.b. hievor). Die Beschwerde von B._______ ist demnach hinsichtlich der Wegweisung als gegenstandslos geworden abzuschreiben. Der Prozessgegenstand des vorliegenden Beschwerdeverfahrens beschränkt sich folglich bei B._______ auf die Frage der Flüchtlingseigenschaft und des Asyls, bei der Beschwerdeführerin zusätzlich auf die Frage der Wegweisung aus der Schweiz. Der Vollständigkeit halber ist festzuhalten, dass im vorliegenden Beschwerdeverfahren auch nicht weiter auf die Frage einzugehen ist, ob die Beschwerdeführerin die Voraussetzungen zur Anerkennung der Staatenlosigkeit erfüllt, zumal das SEM bisher nicht über ein Gesuch der Beschwerdeführerin um Anerkennung der Staatenlosigkeit befunden hat. Es hat indessen in der angefochtenen Verfügung festgehalten, es stehe der Beschwerdeführerin frei, ein entsprechendes Gesuch beim SEM einzureichen (vgl. Ziff. II.1 und 2 der vorinstanzlichen Verfügung).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kommt in der angefochtenen Verfügung zum Schluss, die Vorbringen der Beschwerdeführerin würden den Anforderungen an die Flüchtlingseigenschaft gemäss Art. 3 AsylG nicht standhalten. Die Beschwerdeführerin habe sinngemäss ausgesagt, dass eine Einbürgerung für sie möglich gewesen wäre. In der eingereichten Ehebescheinigung werde sie als Maktumin (nicht registrierte Kurdin ohne syrische Staatsangehörigkeit), nicht aber als Ajanib aufgeführt. Ungeachtet dessen würden die Ajanib in Syrien gemäss geltender Rechtsprechung der Asylbehörden keiner Kollektivverfolgung unterliegen. Von staatlichen Repressionen, die ein menschenwürdiges Leben in Syrien verunmöglichen würden, könne für diese Personengruppe generell nicht gesprochen werden. Die im Distrikt G._______ registrierten Ajanib hätten gemäss präsidialem Dekret 49 vom 7. April 2011 die Möglichkeit erhalten, die syrische Staatsangehörigkeit zu erhalten. Seither hätten sich zahlreiche Ajanib einbürgern lassen und seien somit den Kurden gleichgestellt, welche schon zuvor im Besitz der syrischen Staatsangehörigkeit gewesen seien. Ihrem Vorbringen, Ajanib zu sein, komme daher keine asylrelevante Bedeutung zu. Sodann würden im Rahmen von Krieg oder Situationen allgemeiner Gewalt erlittene Nachteile keine Verfolgung im Sinne des Asylgesetzes darstellen, soweit sie nicht auf der Absicht beruhen würden, einen Menschen aus einem der in Art. 3 AsylG erwähnten Gründe zu treffen.</w:t>
      </w:r>
    </w:p>
    <w:p>
      <w:r>
        <w:rPr>
          <w:b/>
        </w:rPr>
        <w:t>E. 6.2</w:t>
      </w:r>
    </w:p>
    <w:p>
      <w:r>
        <w:t>Die Beschwerdeführerin entgegnet in ihrer Beschwerdeschrift, sie habe wahrheitsgemäss ausgesagt und mittels sämtlichen ihr möglichen Beweisen belegt, dass sie Ajanib sei, dennoch habe das SEM ihr Asylgesuch abgelehnt. Sie wolle zusammen mit ihrem Kind und E._______ in der Schweiz in Frieden leben. Es gebe in der Schweiz ein Gesetz für Kurden ohne syrische Staatsangehörigkeit, dieses müsse auch für sie gelten.</w:t>
      </w:r>
    </w:p>
    <w:p>
      <w:r>
        <w:rPr>
          <w:b/>
        </w:rPr>
        <w:t>E. 7.1</w:t>
      </w:r>
    </w:p>
    <w:p>
      <w:r>
        <w:t>Das Bundesverwaltungsgericht gelangt nach Durchsicht der Akten zum Schluss, dass die Vorinstanz zu Recht die Flüchtlingseigenschaft der Beschwerdeführerin und ihrem Kind verneint und ihre Asylgesuche abgelehnt hat.</w:t>
      </w:r>
    </w:p>
    <w:p>
      <w:r>
        <w:rPr>
          <w:b/>
        </w:rPr>
        <w:t>E. 7.2</w:t>
      </w:r>
    </w:p>
    <w:p>
      <w:r>
        <w:t>Soweit die Beschwerdeführerin vorbrachte, sie sei als Ajnabi in Syrien diskriminiert worden, hielt die Vorinstanz in der angefochtenen Verfügung zu Recht fest, dass gemäss geltender Rechtsprechung auch für staatenlose Kurden, trotz der unbestrittenen weitreichenden Diskriminierungen, nicht generell von einer Verfolgung in asylrelevantem Ausmass auszugehen ist; dieser Einschätzung der Lage der Ajanib schliesst sich das Gericht an (vgl. auch Urteil des BVGer E-6128/2013 vom 22. Dezember 2015 E. 7.5); die von der Beschwerdeführerin geltend gemachten Diskriminierungen erreichen nicht jene Intensität ernsthafter Nachteile, die zur Bejahung der Asylrelevanz erforderlich wäre.</w:t>
      </w:r>
    </w:p>
    <w:p>
      <w:r>
        <w:rPr>
          <w:b/>
        </w:rPr>
        <w:t>E. 7.3</w:t>
      </w:r>
    </w:p>
    <w:p>
      <w:r>
        <w:t>Das SEM qualifizierte sodann auch das Vorbringen der Beschwerdeführerin, sie sei aufgrund des Bürgerkriegs ausgereist, zu Recht als nicht asylrelevant, da der geltend gemachte Nachteil unter dem Blickwinkel der allgemein schwierigen Lage in Syrien und insbesondere im Lichte des anhaltenden bewaffneten Konflikts zu betrachten ist und vom SEM durch die Feststellung der Unzumutbarkeit des Wegweisungsvollzugs angemessen berücksichtigt wurde.</w:t>
      </w:r>
    </w:p>
    <w:p>
      <w:r>
        <w:rPr>
          <w:b/>
        </w:rPr>
        <w:t>E. 7.4</w:t>
      </w:r>
    </w:p>
    <w:p>
      <w:r>
        <w:t>Zusammenfassend ist festzustellen, dass die geltend gemachten Asylgründe nicht geeignet sind, eine asyl- respektive flüchtlingsrechtlich relevante Verfolgung beziehungsweise eine entsprechende Verfolgungsfurcht zu begründen. Das SEM hat deshalb zu Recht die Asylgesuche der Beschwerdeführerin und ihres Kindes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Wie bereits in Erwägung 4 ausgeführt wurde, ist die mit Verfügung des SEM vom 30. April 2020 angeordnete Wegweisung von B._______ dahingefallen, nachdem ihm eine Aufenthaltsbewilligung B erteilt wurde. Die Beschwerdeführerin verfügt dagegen über keine ausländerrechtliche Aufenthaltsbewilligung. Ihre Wegweisung wurde - mangels Vorliegens eines bei der zuständigen kantonalen Ausländerbehörde eingereichten Gesuchs um Erteilung einer Aufenthaltsbewilligung - zu Recht angeordnet (vgl. BVGE 2013/37 E. 4.4; 2009/50 E. 9, je m.w.H.). Der Beschwerdeführerin steht es allerdings frei, bei der zuständigen kantonalen Migrationsbehörde ein Gesuch um Erteilung einer Aufenthaltsbewilligung einzureichen (Familienvereinigung; vgl. Art. 44 des Bundesgesetzes vom 16. Dezember 2005 über die Ausländerinnen und Ausländer und über die Integration (Ausländer- und Integrationsgesetz [AIG, SR 142.20]).</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Der Wegweisungsvollzug der Beschwerdeführerin wurde vom SEM zugunsten einer vorläufigen Aufnahme aufgeschoben. Da die Wegweisungsvollzugshindernisse alternativer Natur sind (vgl. BVGE 2009/51 E. 5.4 S. 748), erübrigen sich praxisgemäss Ausführungen zur Durchführbarkeit des Wegweisungsvollzugs. Das Vorliegen von Vollzugshindernissen ist bei einer allfälligen Aufhebung der vorläufigen Aufnahme der Beschwerdeführerin erneut zu prüfen. Die vorläufige Aufnahme tritt mit dem vorliegenden Entscheid formell in Kraft.</w:t>
      </w:r>
    </w:p>
    <w:p>
      <w:r>
        <w:rPr>
          <w:b/>
        </w:rPr>
        <w:t>E. 10</w:t>
      </w:r>
    </w:p>
    <w:p>
      <w:r>
        <w:t>Aus diesen Erwägungen ergibt sich, dass die Verfügung des SEM vom 30. April 2020 Bundesrecht nicht verletzt, den rechtserheblichen Sachverhalt richtig sowie vollständig feststellt und angemessen ist. Die Beschwerde ist abzuweisen, soweit sie nicht gegenstandslos geworden ist.</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15. Juni 2020 einbezahlte Kostenvorschuss in der gleichen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