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D-2602/2022 vom 21. Juni 2022</w:t>
      </w:r>
    </w:p>
    <w:p>
      <w:r>
        <w:t>Bundesverwaltungsgericht, 2022-06-21, FR</w:t>
      </w:r>
    </w:p>
    <w:p>
      <w:r>
        <w:rPr>
          <w:b/>
        </w:rPr>
        <w:t xml:space="preserve">Quelle: </w:t>
      </w:r>
      <w:r>
        <w:t>https://mcp.opencaselaw.ch/entscheid/bvger_D-2602_2022</w:t>
      </w:r>
    </w:p>
    <w:p>
      <w:r>
        <w:t>FR: TAF D-2602/2022 du 21 juin 2022</w:t>
      </w:r>
    </w:p>
    <w:p>
      <w:r>
        <w:t>IT: TAF D-2602/2022 del 21 giugno 2022</w:t>
      </w:r>
    </w:p>
    <w:p>
      <w:pPr>
        <w:pStyle w:val="Heading2"/>
      </w:pPr>
      <w:r>
        <w:t>Regeste</w:t>
      </w:r>
    </w:p>
    <w:p>
      <w:r>
        <w:t>Asile (non-entrée en matière / procédure Dublin) et renvoi</w:t>
      </w:r>
    </w:p>
    <w:p>
      <w:pPr>
        <w:pStyle w:val="Heading2"/>
      </w:pPr>
      <w:r>
        <w:t>Erwägungen</w:t>
      </w:r>
    </w:p>
    <w:p>
      <w:r>
        <w:rPr>
          <w:b/>
        </w:rPr>
        <w:t>E. 28</w:t>
      </w:r>
    </w:p>
    <w:p>
      <w:r>
        <w:t>juillet 1951 relative au statut des réfugiés (Conv. réfugiés, RS 0.142.30) ainsi qu’au Protocole additionnel du 31 janvier 1967 (Prot., RS 0.142.301), à la Convention du 4 novembre 1950 de sauvegarde des droits de l'homme</w:t>
      </w:r>
    </w:p>
    <w:p>
      <w:r>
        <w:t>D-2602/2022 Page 7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 arrêt du Tribunal F-7195/2018 du 11 février 2020 consid. 6.1 à 6.3), qu'en l’espèce, en l'absence d'une pratique avérée de violation systématique des normes communautaires minimales en la matière, la présomption de respect par la France de ses obligations concernant les droits des requérants d'asile sur son territoire n’est pas renversée (cf. ATAF 2010/45 consid. 7.4 et 7.5 ; voir aussi décision de la Cour EDH Samsam Mohammed Hussein et autres c. les Pays-Bas et l’Italie du 2 avril 2013, n° 27725/10, § 78), que, partant, l'application de l'art. 3 par. 2 du règlement Dublin III ne se justifie pas en l'espèce,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t>D-2602/2022 Page 8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 n'a pas démontré l’existence d’un risque concret que les autorités françaises refuseraient de le prendre en charge et de mener une procédure d’examen de sa demande de protection internationale,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 lui-même privé durablement de tout accès aux conditions matérielles minimales d’accueil prévues par la directive Accueil, qu’à ce titre, il lui reviendra toutefois d’entreprendre les démarches nécessaires à l’ouverture d’une procédure d’asile auprès des autorités compétentes à son arrivée sur le territoire français, qu’au demeurant, si – après son retour en France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 hoc (art. 26 directive Accueil),</w:t>
      </w:r>
    </w:p>
    <w:p>
      <w:r>
        <w:t>D-2602/2022 Page 9 que, de même, il devra, le cas échéant, s’adresser aux autorités françaises compétentes pour obtenir une protection adéquate contre des agissements ou menaces de tiers, rien n’indiquant qu’une telle protection ne pourra pas lui être accordée, que ses allégations selon lesquelles, d’une part, la France serait le pays européen le plus dangereux pour lui du fait que le TMVP y est présent et qu’il y serait connu de ses compatriotes, en particulier (…) et, d’autre part, que les autorités françaises n’auraient ni la volonté ni la capacité de le protéger (cf. entretien individuel Dublin et document « Why I cannot be sent to France » rédigé par l’intéressé) ne constituent que de simples affirmations qu’aucun élément concret ni moyen de preuve fiable et déterminant ne viennent étayer, que, comme relevé par le SEM, il ressort des différents documents médicaux versés au dossier que le recourant souffre d’une hypertension artérielle (HTA) nécessitant un traitement médicamenteux, que le recourant ne s’en prévaut cependant pas dans son recours, que quoi qu’il en soit, ses problèmes de santé n’apparaissent pas, au vu des pièces du dossier, d’une gravité telle que son transfert vers la France serait illicite au sens de la jurisprudence de la Cour européenne des droits de l’homme (cf. arrêt Paposhvili c. Belgique du 13 décembre 2016, requête n° 41738/10, et arrêts cités), ce pays disposant de structures médicales similaires à celles existant en Suisse, que rien n’indique de surcroît que l’intéressé ne serait pas en mesure de voyager, qu’au vu des pièces contenues dans le dossier, le recourant n’ayant, du reste, invoqué aucun argument de nature médicale pour s’opposer à son transfert vers la France et donc, a fortiori, aucune aggravation de son état de santé, il ne peut être fait grief au SEM d’avoir renoncé à instruire plus avant cette question avant de se prononcer, qu’il incombera toutefois aux autorités suisses chargées de l’exécution du transfert de transmettre aux autorités françaises les renseignements permettant une prise en charge adéquate de l’intéressé (art. 31 et 32 du règlement Dublin III),</w:t>
      </w:r>
    </w:p>
    <w:p>
      <w:r>
        <w:t>D-2602/2022 Page 10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 dans ces conditions,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(art. 32 OA 1), qu’au vu de ce qui précède, le recours doit être rejeté, dans la mesure où il est recevable,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demandes de mesures superprovisionnelles (art. 56 PA), d’octroi de l’effet suspensif (art. 107a al. 2 LAsi) et d’exemption du versement d’une avance de frais (art. 63 al. 4 PA) sont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D-2602/2022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