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D-2601/2015 vom 4. Juni 2015</w:t>
      </w:r>
    </w:p>
    <w:p>
      <w:r>
        <w:t>Bundesverwaltungsgericht, 2015-06-04, DE</w:t>
      </w:r>
    </w:p>
    <w:p>
      <w:r>
        <w:rPr>
          <w:b/>
        </w:rPr>
        <w:t xml:space="preserve">Quelle: </w:t>
      </w:r>
      <w:r>
        <w:t>https://mcp.opencaselaw.ch/entscheid/bvger_D-2601_2015</w:t>
      </w:r>
    </w:p>
    <w:p>
      <w:r>
        <w:t>FR: TAF D-2601/2015 du 4 juin 2015</w:t>
      </w:r>
    </w:p>
    <w:p>
      <w:r>
        <w:t>IT: TAF D-2601/2015 del 4 giugno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 [S. 142 f.]).</w:t>
      </w:r>
    </w:p>
    <w:p>
      <w:r>
        <w:rPr>
          <w:b/>
        </w:rPr>
        <w:t>E. 4.3</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zugefügt worden sind beziehungsweise zugefügt zu werden drohen (vgl. BVGE 2008/4 E. 5.2 S. 37). Begründete Furcht vor Verfolgung liegt vor, wenn konkreter Anlass zur Annahme besteht, eine Verfolgung hätte sich mit beachtlicher Wahrscheinlichkeit und in absehbarer Zeit verwirklicht. Eine bloss entfernte Möglichkeit künftiger Verfolgung genügt nicht; es müssen konkrete Indizien vorliegen, welche den Eintritt der erwarteten und aus einem der vom Gesetz aufgezählten Motive erfolgenden Benachteiligung als wahrscheinlich und dementsprechend die Furcht davor als realistisch und nachvollziehbar erscheinen lassen (vgl. BVGE 2010/57 E. 2.5 [S. 827 f.], 2010/44 E. 3.4 [S. 620 f.]).</w:t>
      </w:r>
    </w:p>
    <w:p>
      <w:r>
        <w:rPr>
          <w:b/>
        </w:rPr>
        <w:t>E. 5</w:t>
      </w:r>
    </w:p>
    <w:p>
      <w:r>
        <w:t>Das SEM erachtete die von der Beschwerdeführerin vorgebrachten Fluchtgründe als den Anforderungen an die Flüchtlingseigenschaft gemäss Art. 3 AsylG nicht genügend. Dieser Einschätzung ist im Ergebnis beizupflichten. Zur Vermeidung von Wiederholungen kann auf die nicht zu beanstandenden Ausführungen in der angefochtenen Verfügung verwiesen werden. Der Rechtsmitteleingabe vom 24. April 2015 sind keine stichhaltigen Entgegnungen zu entnehmen, die die Argumentation des SEM in Zweifel zu ziehen vermöchten. Der Beschwerdeführerin wurde bereits mit Zwischenverfügung vom 5. Mai 2015 dargelegt, weshalb ihre Vorbringen in der Rechtsmitteleingabe keine Änderung in der Frage der Flüchtlingseigenschaft und des Asyls (und des Wegweisungsvollzugs) zu bewirken vermögen. Eine Änderung der Sachlage ist seither nicht eingetreten, so dass ebenfalls auf die besagte Zwischenverfügung verwiesen werden kann.</w:t>
      </w:r>
    </w:p>
    <w:p>
      <w:r>
        <w:rPr>
          <w:b/>
        </w:rPr>
        <w:t>E. 5.1</w:t>
      </w:r>
    </w:p>
    <w:p>
      <w:r>
        <w:t>Das SEM hat in zutreffender Weise festgestellt, dass die Beschwerdeführerin keine gezielte, asylrechtlich relevante Verfolgung ihrer Person vorzubringen vermochte. Die Beschwerdeführerin machte geltend, persönlich keine Probleme mit den heimatlichen Behörden gehabt zu haben (vgl. A10 S. 8 F90), sondern nur Ende Oktober 2013 einmal von der örtlichen Polizei nach dem Aufenthaltsort ihres Bruders befragt worden zu sein. Nach der Befragung habe sie ohne Auflagen wieder nach Hause gehen können und sei in der Folge nicht mehr von der Polizei behelligt worden. Ungeachtet der Frage der Glaubhaftigkeit ihrer Vorbringen, vermochte die Beschwerdeführerin, die gemäss eigenen Angaben nicht am Protest gegen die Bergbaufirma beteiligt gewesen sei, damit keine begründete Furcht vor einer gezielten staatlichen (Reflex-)Verfolgung ihrer Person darzulegen. Gegen die Annahme einer begründeten Furcht vor Verfolgungsmassnahmen asylrelevanten Ausmasses spricht auch die problemlos erfolgte Ausreise über den Flughafen in F._______ mit einem auf ihren Namen lautenden und mit ihrem Foto versehenen chinesischen Pass. Mit der vorgebrachten schwierigen Situation nach dem Hinschied der Mutter im November 2013 und den damit verbundenen wirtschaftlichen Schwierigkeiten und Gefühlen der Einsamkeit und Sehnsucht nach dem Verlobten vermag die Beschwerdeführerin den Anforderungen an eine asylbeachtlich begründete, individuelle Verfolgung im Sinne von Art. 3 AsylG ebenfalls nicht zu genügen.</w:t>
      </w:r>
    </w:p>
    <w:p>
      <w:r>
        <w:rPr>
          <w:b/>
        </w:rPr>
        <w:t>E. 5.2</w:t>
      </w:r>
    </w:p>
    <w:p>
      <w:r>
        <w:t>Die Beschwerdeführerin erfüllt damit die Flüchtlingseigenschaft gemäss Art. 3 AsylG nicht. Das SEM hat das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AuG).</w:t>
      </w:r>
    </w:p>
    <w:p>
      <w:r>
        <w:rPr>
          <w:b/>
        </w:rPr>
        <w:t>E. 7.1.1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7.1.2</w:t>
      </w:r>
    </w:p>
    <w:p>
      <w:r>
        <w:t>Das Prinzip des flüchtlingsrechtlichen Non-Refoulement schützt nur Personen, welche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Dies ist vorliegend nicht der Fall. Es besteht kein konkreter Anlass zur Annahme, der Beschwerdeführerin, die keine asylrechtlich beachtliche Verfolgung darzulegen vermochte, würde bei einer Rückkehr in ihr Heimatland eine menschenrechtswidrige Behandlung nach Art. 3 EMRK oder Art. 1 FoK drohen. Auch die allgemeine Menschenrechtssituation in China lässt den Wegweisungsvollzug nicht als unzulässig erscheinen.</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7.2.1</w:t>
      </w:r>
    </w:p>
    <w:p>
      <w:r>
        <w:t>Die allgemeine Lage in China spricht nicht gegen die Zumutbarkeit des Wegweisungsvollzugs. Auch in dem autonomen Gebiet der Inneren Mongolei herrscht keine Situation allgemeiner flächendeckender Gewalt, aufgrund derer die Bevölkerung konkret gefährdet wäre und eine Rückkehr dorthin als generell unzumutbar betrachtet werden müsste.</w:t>
      </w:r>
    </w:p>
    <w:p>
      <w:r>
        <w:rPr>
          <w:b/>
        </w:rPr>
        <w:t>E. 7.2.2</w:t>
      </w:r>
    </w:p>
    <w:p>
      <w:r>
        <w:t>Den Akten lassen sich auch keine konkreten Anhaltspunkte dafür entnehmen, dass die Beschwerdeführerin aus individuellen Gründen wirtschaftlicher, sozialer oder gesundheitlicher Natur bei einer Rückkehr in ihr Heimatland in eine existenzbedrohende Situation geraten würde. Der Wegweisungsvollzug ethnischer Burjaten ist grundsätzlich zumutbar und der Beschwerdeführerin, die keine wesentlichen gesundheitlichen Beeinträchtigungen vorbrachte, und gemäss eigenen Angaben bis zur Ausreise anfangs Januar 2014 immer in der Inneren Mongolei gelebt hat und über eine fünfjährige Schulbildung sowie Erfahrung in der Viehzucht verfügt, ist die Rückkehr zuzumuten. Sie kann gemeinsam mit ihrem Verlobten, dessen Beschwerde gegen den negativen Asylentscheid ebenfalls abzuweisen ist (vgl. Beschwerdeverfahren [...]), in ihr Heimatland zurückkehren. Zwar könne sie infolge des Hinschieds der Mutter und der Abwesenheit des Vaters und Bruders nicht in ihre Familiengemeinschaft zurückkehren, aber mit ihren ehemaligen Nachbarn, bei denen es sich um Verwandte ihres Verlobten handle, weist sie an ihrem Herkunftsort doch ein soziales Beziehungsnetz auf, auf dessen Unterstützung sie bereits vor der Ausreise habe zählen können. Zudem lebt eine Tante der Beschwerdeführerin in ihrem Heimatland (vgl. A4 S. 6), bei der ihr Bruder längere Zeit Unterschlupf gefunden habe, so dass angenommen werden darf, dass auch die Beschwerdeführerin diese gegebenenfalls um Unterstützung ersuchen kann. Insgesamt ist somit nicht davon auszugehen, die Beschwerdeführerin würde bei einer Rückkehr in ihr Heimatland in eine ihre Existenz vernichtende Situation geraten, die als konkrete Gefährdung im Sinne der zu beachtenden Bestimmungen zu werten wäre (Art. 83 Abs. 4 AuG). Allfällige anfängliche wirtschaftliche Reintegrationsschwierigkeiten stehen im Übrigen dem Vollzug nicht entgegen, da blosse soziale oder wirtschaftliche Schwierigkeiten, von denen die ansässige Bevölkerung betroffen ist, keine existenzbedrohende Situation zu begründen vermögen (vgl. BVGE 2010/41 E. 8.3.6 [S. 591 f.]).</w:t>
      </w:r>
    </w:p>
    <w:p>
      <w:r>
        <w:rPr>
          <w:b/>
        </w:rPr>
        <w:t>E. 7.3</w:t>
      </w:r>
    </w:p>
    <w:p>
      <w:r>
        <w:t>Schliesslich obliegt es der Beschwerdeführerin, sich bei der zuständigen Vertretung des Heimatstaates die für eine Rückkehr notwendigen Reisedokumente zu beschaffen (Art. 8 Abs. 4 AsylG; vgl. dazu auch BVGE 2008/34 E. 12), weshalb der Vollzug der Wegweisung auch als möglich zu bezeichnen ist (Art. 83 Abs. 2 AuG).</w:t>
      </w:r>
    </w:p>
    <w:p>
      <w:r>
        <w:rPr>
          <w:b/>
        </w:rPr>
        <w:t>E. 7.4</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