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D-2600/2007 vom 8. Februar 2010</w:t>
      </w:r>
    </w:p>
    <w:p>
      <w:r>
        <w:t>Bundesverwaltungsgericht, 2010-02-08, DE</w:t>
      </w:r>
    </w:p>
    <w:p>
      <w:r>
        <w:rPr>
          <w:b/>
        </w:rPr>
        <w:t xml:space="preserve">Quelle: </w:t>
      </w:r>
      <w:r>
        <w:t>https://mcp.opencaselaw.ch/entscheid/bvger_D-2600_2007</w:t>
      </w:r>
    </w:p>
    <w:p>
      <w:r>
        <w:t>FR: TAF D-2600/2007 du 8 février 2010</w:t>
      </w:r>
    </w:p>
    <w:p>
      <w:r>
        <w:t>IT: TAF D-2600/2007 del 8 febbraio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Beschwerdeführerin ist legitimiert; auf die frist- und formgerecht eingereichte Beschwerde ist einzutreten (Art. 6 AsylG i.V.m. Art. 48 Abs. 1, Art. 50 und Art. 52 des Verwaltungsverfahrensgesetzes vom 20. Dezember 1968 [VwVG, SR 172.021]).</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w:t>
      </w:r>
    </w:p>
    <w:p>
      <w:r>
        <w:rPr>
          <w:b/>
        </w:rPr>
        <w:t>E. 3.3</w:t>
      </w:r>
    </w:p>
    <w:p>
      <w:r>
        <w:t>Eine Person, welche sich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verfolgen würde (vgl. Entscheidungen und Mitteilungen der Schweizerischen Asylrekurskommission [EMARK] 1995 Nr. 9 E. 8c S. 91). Subjektive Nachfluchtgründe begründen zwar die Flüchtlingseigenschaft im Sinn von Art. 3 AsylG, führen jedoch nach Art. 54 AsylG nicht zur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3.4</w:t>
      </w:r>
    </w:p>
    <w:p>
      <w:r>
        <w:t>Gemäss Erkenntnissen des Bundesverwaltungsgerichts (vgl. Urteile D-4943/2006 vom 8. Juli 2008, D-2332/2008 vom 9. September 2008, D-2401/2008 vom 6. Oktober 2008, D-5305/2008 vom 17. Oktober 2008 und D-3511/2008 vom 24. Oktober 2008) ist zwar davon auszugehen, dass die äthiopischen Sicherheitsbehörden die Aktivitä-ten der jeweiligen Exilgemeinschaften in einem gewissen Ausmass überwachen und mittels elektronischer Datenbanken registrieren. Angesichts der 2007 in Äthiopien erfolgten Amnestie von einigen Mitgliedern der Kinjit/CUDP und der nicht unerschöpflichen Ressourcen des äthiopischen Nachrichtendienstes mag sich die Frage nach der aktuellen Überwachungsdichte in der Schweiz stellen, welche indes in casu offenbleiben kann. Von Bedeutung ist vorliegend die tatsächliche Erkennbarkeit der behaupteten exilpolitischen Tätigkeit, die Individualisierbarkeit der Beschwerdeführerin sowie insbesondere deren konkre-te exilpolitische Tätigkeit. Es ist zwar grundsätzlich unbestritten, dass sie diesbezüglich aktiv war. Die von ihr geltend gemachte politische Exponierung kann den vorliegenden Akten indes nicht entnommen werden. Anlässlich der Bundesanhörung vermittelte sie in keiner Wei-se das in den Beschwerdeeingaben gezeichnete Bild einer herausra-gend aktiven Oppositionellen. Vielmehr gab sie im Rahmen ihrer we-nig substanziierten Schilderungen lediglich an, sie habe als Anhänge-rin beziehungsweise normales Mitglied an exilpolitischen Anlässen teil-genommen (B 7/6, Antworten 30 und 40). Weitergehende Aktivitäten gab sie nicht zu Protokoll. Auch dem eingereichten Kinjit-Schreiben vom _______ kann keine Führungsfunktion entnommen wer-den, und das AES-Schreiben _______ erwähnt ledig-lich ihre Mitgliedschaft. Im Weiteren gab sie an, in den anlässlich der Anhörung eingereichten Publikationen nicht persönlich aufgeführt zu sein (B 7/6, Antwort 5). Auch den weiteren Beweismitteln sind keine Anhaltspunkte für ein markantes exilpolitisches Profil zu entnehmen. Das eingereichte Bild-material (darunter eine DVD) dürfte es den äthiopischen Behörden unter Umständen zwar ermöglicht haben, sie zu identifizieren; ein herausragendes Engagement ist so aber wiederum nicht dargetan. Die ferner eingereichten Unterlagen und Schreiben der AES, die Weisung des äthiopischen Aussenministeriums, die damit im Zusammenhang stehenden Publikationen und Berichte sowie der Bericht über einen Prozess vor Ort betreffen die Beschwerdeführerin nicht persönlich; insgesamt ist mithin entgegen den Beschwerdevorbringen nicht davon auszugehen, dass sie den gesteigerten Argwohn von äthiopischen Regierungsagenten erweckte. Im Weiteren vermochte sie im Rahmen des ersten Asylverfahrens die geltend gemachte behördliche Verfol-gung nicht glaubhaft zu machen. Die Feststellung des Bundesamtes, vor ihrer Ausreise sei sie den heimatlichen Behörden in politischer Hinsicht nicht aufgefallen, dürfte somit zutreffen. Gemäss Praxis des Bundesverwaltungsgerichts können exilpolitische Aktivitäten indes nur dann zur Zuerkennung der Flüchtlingseigenschaft aufgrund von sub-jektiven Nachfluchtgründen führen, wenn zumindest glaubhaft ge-macht wird, dass im Falle einer Rückkehr in den Heimat- beziehungs-weise Herkunftsstaat infolge dieser Aktivitäten mit über-wiegender Wahrscheinlichkeit mit politischer Verfolgung zu rechnen wäre (vgl. Ur-teile des Bundesverwaltungsgerichts D-7379/2007 vom 6. März 2008, E-113/2008 vom 26. Mai 2008). Einzuräumen ist, dass die Vorgehens-weise der äthiopischen Behörden bei der Einreise gegenüber Lands-leuten, die lange im Ausland weilten, unbesehen des Ausmasses ihrer allfälligen exilpolitischen Tätigkeiten mit Unwägbarkeiten behaftet sein dürfte, ohne dass aber bereits deshalb auf eine konkrete Gefährdung der betroffenen Person geschlossen werden kann. Der erwähnte Um-stand, wonach die Aktivitäten äthiopischer Exilorganisationen von regimetreuen Bürgern oder im Ausland lebenden Behördenvertretern beobachtet werden, reicht für sich allein genommen sodann noch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Derartige konkre-te Hinweise bestehen aufgrund der kaum überdurchschnittlichen Exil-tätigkeiten indes nicht (vgl. dazu wiederum die Ausführungen der Be-schwerdeführerin anlässlich der Anhörung in B 7/6). Vielmehr ist mit der Vorinstanz und entgegen den Beschwerdevorbringen davon auszu-gehen, dass die äthiopischen Behörden nur dann ein Interesse an der Identifizierung einer Person zwecks deren Überwachung oder Verfol-gung haben, wenn deren Aktivitäten als konkrete Bedrohung für das politische System wahrgenommen werden. Für die Annahme, die Be-schwerdeführerin habe sich in dieser besonderen Art und Weise betä-tigt, bestehen aber nach dem Gesagten keine Anhaltspunkte. Sie ge-hört offensichtlich nicht zur Zielgruppe des "harten Kerns" von aktiven oppositionellen Äthiopiern im Ausland, für die sich die äthiopischen Behörden mutmasslich interessieren. Es ist daher nicht mit beachtlicher Wahrscheinlichkeit davon auszugehen, dass die äthiopischen Behörden aus heutiger Sicht bei ihr von einer Bedrohung für das Regi-me ausgehen. Schliesslich ist darauf hinzuweisen, dass die Beschwer-deführerin gehalten ist, allfällige Beweismittel unverzüglich einzurei-chen (vgl. Art. 8 Abs. 1 Bst. d AsylG). Da sie nach der Replik vom 13. Juni 2007 keine Eingabe mehr machte, ist mithin auch nicht von ei-ner allfälligen seitherigen Akzentuierung ihres politischen Profils aus-zugehen.</w:t>
      </w:r>
    </w:p>
    <w:p>
      <w:r>
        <w:rPr>
          <w:b/>
        </w:rPr>
        <w:t>E. 3.5</w:t>
      </w:r>
    </w:p>
    <w:p>
      <w:r>
        <w:t>Zusammenfassend ist festzustellen, dass die geltend gemachten subjektiven Nachfluchtgründe nicht geeignet sind, eine flüchtlingsrechtlich relevante Verfolgungsfurcht zu begründen, weshalb die Beschwerdeführerin nicht als Flüchtling anerkannt werden kann. An die-ser Einschätzung vermögen weder die weiteren Ausführungen in den Eingaben noch die beigelegten Beweismittel etwas zu ändern, wes-halb darauf verzichtet werden kann, auf diese detaillierter einzugehen.</w:t>
      </w:r>
    </w:p>
    <w:p>
      <w:r>
        <w:rPr>
          <w:b/>
        </w:rPr>
        <w:t>E. 3.6</w:t>
      </w:r>
    </w:p>
    <w:p>
      <w:r>
        <w:t>Unter Berücksichtigung der gesamten Umstände folgt, dass die Beschwerdeführerin keine Gründe nach Art. 3 AsylG nachweisen oder glaubhaft machen konnte. Die Vorinstanz hat ihr Gesuch demnach zu Recht abgelehnt.</w:t>
      </w:r>
    </w:p>
    <w:p>
      <w:r>
        <w:rPr>
          <w:b/>
        </w:rPr>
        <w:t>E. 4.1</w:t>
      </w:r>
    </w:p>
    <w:p>
      <w:r>
        <w:t>Lehnt das Bundesamt das 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verfügt weder über eine ausländerrechtliche Aufenthaltsbewilligung noch über einen Anspruch auf Erteilung einer solchen. Die Wegweisung wurde demnach zu Recht angeordnet (Art. 44 Abs. 1 AsylG).</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was ihr unter Hinweis auf die vorstehenden Erwä-gungen nicht gelungen ist.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In Äthiopien herrscht zurzeit keine Situation allgemeiner Gewalt, weshalb in konstanter Praxis von der generellen Zumutbarkeit des Wegweisungsvollzugs nach Äthiopien ausgegangen wird (vgl. Urteile des Bundesverwaltungsgerichts E-113/2008 vom 26. Mai 2008, D 4943/2006 vom 8. Juli 2008; EMARK 1998 Nr. 22).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der Beschwer-deführerin ausgegangen werden.</w:t>
      </w:r>
    </w:p>
    <w:p>
      <w:r>
        <w:rPr>
          <w:b/>
        </w:rPr>
        <w:t>E. 5.4.2</w:t>
      </w:r>
    </w:p>
    <w:p>
      <w:r>
        <w:t>In den Akten finden sich auch keine konkreten Anhaltspunkte dafür, dass die Beschwerdeführerin aus individuellen Gründen wirtschaftlicher, sozialer oder gesundheitlicher Natur in eine existenzbe-drohende Situation geraten würde. Es ist ihr, die zeitlebens in _______ wohnte, über eine gewisse Schulbildung und über Angehörige vor Ort verfügt, zuzumuten, sich erneut dort niederzulassen (vgl. A 1/7, S. 1 f.; A 13/17, S. 4, 6 und 8). Entsprechend kann auch in Würdigung ihrer langen Landesabwesenheit davon ausgegangen werden, sie gerate nach der Rückkehr im Herkunftsort _______ nicht in eine existenzielle Notlage. Nach dem Gesagten erweist sich der Vollzug der Wegwei-sung als zumutbar.</w:t>
      </w:r>
    </w:p>
    <w:p>
      <w:r>
        <w:rPr>
          <w:b/>
        </w:rPr>
        <w:t>E. 5.5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 Dies auch deshalb, weil der subeventualiter gestellte Antrag auf Feststellung der Unmöglichkeit des Vollzugs mangels Begründung nicht nachvollzogen werden kann.</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der Beschwerdeführerin aufzuerlegen (Art. 63 Abs. 1 VwVG). Da ihr Gesuch im Sinne von Art. 65 Abs. 1 VwVG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