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D-2598/2015 vom 3. Juni 2015</w:t>
      </w:r>
    </w:p>
    <w:p>
      <w:r>
        <w:t>Bundesverwaltungsgericht, 2015-06-03, DE</w:t>
      </w:r>
    </w:p>
    <w:p>
      <w:r>
        <w:rPr>
          <w:b/>
        </w:rPr>
        <w:t xml:space="preserve">Quelle: </w:t>
      </w:r>
      <w:r>
        <w:t>https://mcp.opencaselaw.ch/entscheid/bvger_D-2598_2015</w:t>
      </w:r>
    </w:p>
    <w:p>
      <w:r>
        <w:t>FR: TAF D-2598/2015 du 3 juin 2015</w:t>
      </w:r>
    </w:p>
    <w:p>
      <w:r>
        <w:t>IT: TAF D-2598/2015 del 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[S. 827 f.], 2010/44 E. 3.4 [S. 620 f.]).</w:t>
      </w:r>
    </w:p>
    <w:p>
      <w:r>
        <w:rPr>
          <w:b/>
        </w:rPr>
        <w:t>E. 5</w:t>
      </w:r>
    </w:p>
    <w:p>
      <w:r>
        <w:t>Das SEM hat die vom Beschwerdeführer vorgebrachten Fluchtgründe als den Anforderungen an die Glaubhaftigkeit gemäss Art. 7 AsylG nicht genügend erachtet. Dieser Einschätzung ist im Ergebnis beizupflichten. Zur Vermeidung von Wiederholungen kann auf die nicht zu beanstandenden Ausführungen in der angefochtenen Verfügung verwiesen werden. Der Rechtsmitteleingabe vom 24. April 2015 sind keine stichhaltigen Entgegnungen zu entnehmen, die die Argumentation des SEM in Zweifel zu ziehen vermöchten. Dem Beschwerdeführer wurde bereits mit Zwischenverfügung vom 5. Mai 2015 dargelegt, weshalb seine Vorbringen in der Rechtsmitteleingabe keine Änderung in der Frage der Flüchtlingseigenschaft und des Asyls (und des Wegweisungsvollzugs) zu bewirken vermögen. Eine Änderung der Sachlage ist seither nicht eingetreten, so dass ebenfalls auf die besagte Zwischenverfügung verwiesen werden kann.</w:t>
      </w:r>
    </w:p>
    <w:p>
      <w:r>
        <w:rPr>
          <w:b/>
        </w:rPr>
        <w:t>E. 5.1</w:t>
      </w:r>
    </w:p>
    <w:p>
      <w:r>
        <w:t>Eine Überprüfung der Akten ergibt, dass die Schilderungen des Beschwerdeführers zu seinen Fluchtgründen kein stimmiges Bild vermitteln. Seine Vorbringen sind widersprüchlich und unsubstanziiert ausgefallen und das SEM hat in zutreffender Weise festgestellt, dass an der geltend gemachten Verfolgung des Beschwerdeführers durch die chinesischen Behörden ernsthafte Zweifel bestehen. Mit den Ausführungen in der Rechtsmitteleingabe vom 24. April 2015, die sich im Wesentlichen in einer Wiederholung der bisherigen Vorbringen erschöpfen, vermag der Beschwerdeführer den aufgezeigten Ungereimtheiten und fehlenden Realkennzeichen nichts Substanzielles entgegenzusetzen und die Zweifel an der Glaubhaftigkeit seiner Ausführungen nicht auszuräumen. Der Beschwerdeführer vermochte beispielsweise nicht widerspruchsfrei anzugeben, nach welchen Bodenschätzen die fragliche Bergbaufirma, die er nicht namentlich nennen könne, gesucht habe (vgl. A4 S. 9: Gold; A10 S. 8 F87: Kohle), obwohl Grabungen in unmittelbarer Nähe seines Wohnorts stattgefunden hätten (vgl. A10 S. 11 F110 ff.) und der Konflikt schon mehrere Jahre gedauert habe (vgl. A10 S. 9 F89 ff.). Auch hinsichtlich der eigenen Betroffenheit machte er widersprüchliche Angaben, indem er zunächst geltend machte, es sei ihm bereits ein Stück seines Landes für die Bergbauzwecke weggenommen worden (vgl. A10 S. 9 F92), danach aber anderslautend aussagte, er sei noch nicht von einer Landenteignung betroffen gewesen (vgl. A10 S. 9 F93 f.). Zum Inhalt des Schreibens, das er der Firma im Namen der Viehzüchter hätte übergeben sollen, vermochte der Beschwerdeführer keinerlei Angaben zu machen (vgl. A10 S. 12 f. F131). Er habe sich für den Inhalt nicht interessiert und wisse auch nicht, in welcher Sprache das Schreiben verfasst gewesen sei (vgl. A10 S. 13 F132 f.), oder weshalb es zu dem fraglichen Zeitpunkt habe übergeben werden sollen (vgl. A10 S. 15 F166), oder welcher konkreten Person bei der Bergbaufirma er das Schreiben hätte übergeben sollen (vgl. A10 S. 14 F146). Auch wisse er nicht, weshalb gerade er, der zuvor nichts damit zu tun gehabt, nie an einer Versammlung der Viehzüchter teilgenommen und auch keinerlei Kontakte zu den Chinesen vor Ort gehabt habe (vgl. A10 S. 11 F109 und 116, S. 12 F126 ff., S. 18 F201), für diese Aufgabe bestimmt worden sei. Das Desinteresse des Beschwerdeführers und seine Unkenntnis sind nicht nachvollziehbar. Einzig mit dem Einwand in der Rechtsmitteleingabe, er könne nicht lesen und schreiben, weshalb ihm nicht vorgeworfen werden könne, sich nicht an den Namen der chinesischen Firma zu erinnern, vermag der Beschwerdeführer seine gänzliche Unkenntnis nicht zu erklären. Wäre er tatsächlich Mitglied einer Protestdelegation gewesen, wäre vielmehr zu erwarten gewesen, dass er sich über den Inhalt des von ihm zu überbringenden Schreibens, das er immerhin persönlich unterzeichnet habe (vgl. A10 S. 13 F136 f.), und die Ausführung des Auftrags näher informiert hätte respektive von den Viehzüchtern, die ihn mit dieser Aufgabe betraut hätten, entsprechend instruiert worden wäre. Es kann ihm nicht geglaubt werden, sich als Delegierter der örtlichen Viehzüchter zur Übergabe eines Protestschreibens zu der besagten Bergbaufirma begeben zu haben. Bezeichnenderweise vermochte er denn auch die an den Firmenbesuch anschliessende angebliche polizeiliche Suche nach ihm nicht überzeugend darzulegen. Auch seine diesbezüglichen Ausführungen blieben trotz mehrmaliger Nachfrage durchwegs substanzlos. Sein Verhalten, sich bei gezielten Nachfragen in pauschale Aussagen zu flüchten (vgl. bspw. A10 S. 15 F167 ["Generell, diejenigen, die protestieren, werden verhaftet."], A10 S. 17 F183 ["Wenn ein Innermongole verhaftet wird, wird er auch nicht mehr freigelassen."], A4 S. 11 ["Es wurden schon früher Leute verhaftet, die nie mehr wiederkamen."]), deutet darauf hin, dass er nicht selbst Erlebtes darlegt, sondern versucht, einen Sachverhalt zu konstruieren. Damit vermag er keine asylrechtlich relevante Verfolgung seiner Person glaubhaft darzulegen.</w:t>
      </w:r>
    </w:p>
    <w:p>
      <w:r>
        <w:rPr>
          <w:b/>
        </w:rPr>
        <w:t>E. 5.2</w:t>
      </w:r>
    </w:p>
    <w:p>
      <w:r>
        <w:t>Dem Beschwerdeführer ist es aufgrund des Gesagten nicht gelungen, die Flüchtlingseigenschaft gemäss Art. 3 AsylG nachzuweisen oder zumindest glaubhaft zu machen. Das SEM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der keine asylrechtlich beachtliche Verfolgung darzulegen vermochte, würde bei einer Rückkehr in sein Heimatland eine menschenrechtswidrige Behandlung nach Art. 3 EMRK oder Art. 1 FoK drohen. Auch die allgemeine Menschenrechtssituation in China lässt den Wegweisungsvollzug nicht als unzulässig erscheinen.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Die allgemeine Lage in China spricht nicht gegen die Zumutbarkeit des Wegweisungsvollzugs. Auch in dem autonomen Gebiet der Inneren Mongolei herrscht keine Situation allgemeiner flächendeckender Gewalt, aufgrund derer die Bevölkerung konkret gefährdet wäre und eine Rückführung dorthin als generell unzumutbar betrachtet werden müsste.</w:t>
      </w:r>
    </w:p>
    <w:p>
      <w:r>
        <w:rPr>
          <w:b/>
        </w:rPr>
        <w:t>E. 7.2.2</w:t>
      </w:r>
    </w:p>
    <w:p>
      <w:r>
        <w:t>Den Akten lassen sich auch keine konkreten Anhaltspunkte dafür entnehmen, dass der Beschwerdeführer aus individuellen Gründen wirtschaftlicher, sozialer oder gesundheitlicher Natur bei einer Rückkehr in sein Heimatland in eine existenzbedrohende Situation geraten würde. Der Wegweisungsvollzug ethnischer Burjaten ist grundsätzlich zumutbar und dem Beschwerdeführer, der keine wesentlichen gesundheitlichen Beeinträchtigungen vorbrachte, und gemäss eigenen Angaben bis zur Ausreise im Oktober 2012 immer in der Inneren Mongolei gelebt hat, ist die Rückkehr zuzumuten. Er hat dort seinen Lebensunterhalt mit Viehzucht verdient und verfügt mit seiner Tante und deren Ehemann, mit denen er zusammengewohnt habe und auf deren Unterstützung er in der Vergangenheit habe zählen können (vgl. A4 S. 4 f., A10 S. 5 F37), über ein soziales Beziehungsnetz. Im Übrigen kann er gemeinsam mit seiner Verlobten, deren Beschwerde gegen den negativen Asylentscheid ebenfalls abzuweisen sein wird (vgl. Beschwerdeverfahren [...]), in sein Heimatland zurückkehren. Damit darf davon ausgegangen werden, dass der Beschwerdeführer bei einer Rückkehr in der Lage sein wird, sich wieder zu integrieren und - wie bis anhin - seinen Lebensunterhalt zu bestreiten, gegebenenfalls mit der anfänglichen Unterstützung seiner Verwandten. Allfällige anfängliche wirtschaftliche Reintegrationsschwierigkeiten stehen im Übrigen dem Vollzug nicht entgegen, da blosse soziale oder wirtschaftliche Schwierigkeiten, von denen die ansässige Bevölkerung betroffen ist, keine existenzbedrohende Situation zu begründen vermögen (vgl. BVGE 2010/41 E. 8.3.6 [S. 591 f.]).</w:t>
      </w:r>
    </w:p>
    <w:p>
      <w:r>
        <w:rPr>
          <w:b/>
        </w:rPr>
        <w:t>E. 7.3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