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D-2594/2010 vom 27. Mai 2010</w:t>
      </w:r>
    </w:p>
    <w:p>
      <w:r>
        <w:t>Bundesverwaltungsgericht, 2010-05-27, DE</w:t>
      </w:r>
    </w:p>
    <w:p>
      <w:r>
        <w:rPr>
          <w:b/>
        </w:rPr>
        <w:t xml:space="preserve">Quelle: </w:t>
      </w:r>
      <w:r>
        <w:t>https://mcp.opencaselaw.ch/entscheid/bvger_D-2594_2010</w:t>
      </w:r>
    </w:p>
    <w:p>
      <w:r>
        <w:t>FR: TAF D-2594/2010 du 27 mai 2010</w:t>
      </w:r>
    </w:p>
    <w:p>
      <w:r>
        <w:t>IT: TAF D-2594/2010 del 27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Der Beschwerdeführer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Für die Beurteilung der Flüchtlingseigenschaft ist nicht nur der Zeitpunkt der Ausreise aus dem Heimatland, sondern auch die Situation im Zeitpunkt des Asylentscheids massgebend (vgl. Entscheidungen und Mitteilungen der Schweizerischen Asylrekurskommission [EMARK] 2005 Nr. 18). Wer sich darauf beruft, dass durch sein Verhalten nach der Ausreise eine Gefährdungssituation geschaffen worden sei, macht subjektive Nachfluchtgründe geltend, die - sofern sie nachgewiesen oder zumindest glaubhaft gemacht werden können - zwar die Flüchtlingseigenschaft im Sinne von Art. 3 AsylG begründen, jedoch gemäss Art. 54 AsylG zum Ausschluss des Asyls führen.</w:t>
      </w:r>
    </w:p>
    <w:p>
      <w:r>
        <w:rPr>
          <w:b/>
        </w:rPr>
        <w:t>E. 5.1</w:t>
      </w:r>
    </w:p>
    <w:p>
      <w:r>
        <w:t>Aufgrund der Akten erweisen sich die vorinstanzlichen Erwägungen als zutreffend. Zur Vermeidung von Wiederholungen kann daher vorab auf die nicht zu beanstandenden Ausführungen des BFM in der angefochtenen Verfügung verwiesen werden. Der Rechtsmitteleingabe sind keine stichhaltigen Entgegnungen zu entnehmen, die die Argumentation des BFM in Zweifel zu ziehen vermöchten. Dem Beschwerdeführer wurde bereits mit Zwischenverfügung vom 21. April 2010 dargelegt, weshalb seine Vorbringen in der Beschwerde - da aussichtslos - keine Änderung in der Frage der Flüchtlingseigenschaft (und Durchführbarkeit des Wegweisungsvollzugs) zu bewirken vermögen. Eine Änderung der Sachlage hinsichtlich der Begehren ist zwischenzeitlich nicht eingetreten, so dass ebenfalls auf die Ausführungen in der besagten Zwischenverfügung verwiesen werden kann.</w:t>
      </w:r>
    </w:p>
    <w:p>
      <w:r>
        <w:rPr>
          <w:b/>
        </w:rPr>
        <w:t>E. 5.2</w:t>
      </w:r>
    </w:p>
    <w:p>
      <w:r>
        <w:t>Der Einschätzung des BFM, an den vom Beschwerdeführer geltend gemachten Ausreisegründen, wonach er aufgrund seiner Tätigkeit als Schneider für kurdische Kunden wiederholt vom syrischen Geheimdienst abgeführt und über Nacht festgehalten worden sei und auch weiterhin von den heimatlichen Behörden gesucht werde, bestünden ernsthafte Zweifel, ist beizupflichten. Eine Überprüfung der Akten ergibt, dass die Vorbringen kein stimmiges Bild vermitteln. Das BFM hat aus zutreffenden Gründen die Vorbringen des Beschwerdeführers als den Anforderungen an die Glaubhaftigkeit nicht genügend qualifiziert. Hätte tatsächlich der Verdacht bestanden, dass der Beschwerdeführer verbotene Flaggen in seinem Laden versteckte, so wäre es nicht nachvollziehbar, dass das Geschäft nicht durchsucht worden wäre, und dass der Beschwerdeführer zwar wiederholt mitgenommen, aber immer wieder nach kurzer Zeit freigelassen worden wäre. Überdies ist es nicht plausibel, weshalb ihm die Behörden die Identitätskarte erst nach der zehnten Mitnahme abgenommen haben sollten. Der Beschwerdeführer vermochte auch nicht glaubhaft darzulegen, wie es dem Vater jedes Mal gelungen sein soll, seine Freilassung über Nacht zu bewerkstelligen. Dass der Beschwerdeführer von den syrischen Behörden gesucht werde, kann denn aufgrund der Ergebnisse der Botschaftsabklärung, gemäss welcher kein behördlicher Suchauftrag vorliege, auch nicht geglaubt werden. Mit der blossen Entgegnung, vom syrischen Regime könnten generell keine korrekten Informationen erwartet werden, vermag der Beschwerdeführer das Abklärungsergebnis nicht zu entkräften. Auch die Vorbringen bezüglich der Ausreise, wonach er Syrien legal mit seinem Pass und einem (...) Visum Richtung F._______ verlassen habe, können angesichts des Botschaftsberichts, gemäss welchem keine Ausreisebewegungen registriert worden seien, und aufgrund der Tatsache, dass der Beschwerdeführer den Pass mit dem angeblichen Visum den Schweizer Behörden nicht abgegeben hat, nicht geglaubt werden. Die Stellungnahme in der Beschwerdeeingabe, die Ausreise sei wohl aufgrund der Zusammenarbeit des Schleppers mit der Grenzpolizei nicht registriert worden, vermag ebensowenig zu überzeugen wie die Erklärung, weshalb er die Herstellung kurdischer Flaggen anfänglich nicht erwähnt habe. Schliesslich vermag der Beschwerdeführer mit dem Hinweis auf die allgemein schwierige Lage der kurdischen Bevölkerungsminderheit in Syrien den Anforderungen an eine asylbeachtlich begründete, individuelle Verfolgung im Sinne von Art. 3 AsylG ebenfalls nicht zu genügen. Der Beschwerdeführer konnte mithin für den Zeitpunkt der Ausreise aus Syrien keine Verfolgung im Sinne von Art. 3 AsylG nachweisen oder zumindest glaubhaft machen. Das BFM hat das Asylgesuch in diesem Kontext zu Recht abgewiesen.</w:t>
      </w:r>
    </w:p>
    <w:p>
      <w:r>
        <w:rPr>
          <w:b/>
        </w:rPr>
        <w:t>E. 5.3</w:t>
      </w:r>
    </w:p>
    <w:p>
      <w:r>
        <w:t>Hinsichtlich des auf Beschwerdeebene geltend gemachten exilpolitischen Engagements ist festzuhalten, dass es den Erkenntnissen des Bundesverwaltungsgerichts zufolge zwar zutrifft, dass sich die syrischen Behörden für die exilpolitischen Aktivitäten ihrer Staatsangehörigen interessieren.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 Ein solcher Exponierungsgrad kann dem Beschwerdeführer, der sich vor seiner Ausreise aus Syrien gemäss eigenen Angaben nicht politisch engagiert hat (vgl. A13 S. 8), nicht beigemessen werden. Die eingereichten Beweismittel vermitteln nicht den Eindruck, er habe sich in hervorgehobener Position für die Belange der Exil-Syrer beziehungsweise der syrischen Kurden engagiert. Aufgrund der Aktenlage ist nicht davon auszugehen, sein Engagement sei über die Teilnahme an einer oder ein paar wenigen Kundgebungen - die drei eingereichten Fotos zeigen ihn lediglich an einer einzigen Veranstaltung - hinausgegangen. Konkrete und glaubhafte Hinweise, dass er deswegen tatsächlich das Interesse der syrischen Behörden auf sich gezogen hat respektive als regimefeindliches Element namentlich identifiziert und registriert wurde, liegen nicht vor. Auf den drei Fotos ist er zwar erkennbar, er wird jedoch im ebenfalls zu den Akten gereichten Flugblatt vom 7. April 2010 nicht namentlich genannt. Eine Identifizierung durch den syrischen Geheimdienst erscheint daher nicht wahrscheinlich. Aber selbst für den Fall des Bekanntwerdens der exilpolitischen Tätigkeit ist angesichts der Tatsache, dass der Beschwerdeführer nicht als besonders engagierter und exponierter Regimegegner qualifiziert werden kann, nicht davon auszugehen, er müsste bei einer Rückkehr mit flüchtlingsrechtlich relevanter Verfolgung durch die syrischen Behörden rechnen. Demnach ist die Flüchtlingseigenschaft des Beschwerdeführers auch mangels subjektiver Nachfluchtgründe gemäss Art. 54 AsylG zu verneinen.</w:t>
      </w:r>
    </w:p>
    <w:p>
      <w:r>
        <w:rPr>
          <w:b/>
        </w:rPr>
        <w:t>E. 6</w:t>
      </w:r>
    </w:p>
    <w:p>
      <w:r>
        <w:t>Lehnt das Bundesamt das Asylgesuch ab oder tritt es darauf nicht ein, so verfügt es in der Regel die Wegweisung aus der Schweiz und ordnet den Vollzug an (Art. 44 Abs. 1 AsylG). Da der Beschwerdeführer weder über eine ausländerrechtliche Aufenthaltsbewilligung noch über einen Anspruch auf Erteilung einer solchen verfügt, wurde die Wegweisung zu Recht angeordnet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Syrien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 noch aus den Akten ergeben sich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Falle einer Rückschiebung Folter oder unmenschliche Behandlung drohen würde (vgl. EMARK 2001 Nr. 16 S. 122, mit weiteren Hinweisen). Dies ist vorliegend nicht der Fall. Auch die allgemeine Menschenrechtssituation in Syrien lässt den Wegweisungsvollzug nicht als unzulässig erscheinen.</w:t>
      </w:r>
    </w:p>
    <w:p>
      <w:r>
        <w:rPr>
          <w:b/>
        </w:rPr>
        <w:t>E. 7.1.3</w:t>
      </w:r>
    </w:p>
    <w:p>
      <w:r>
        <w:t>Der Vollzug der Wegweisung ist damit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Die allgemeine Lage in Syrien ist weder von Bürgerkrieg noch von allgemeiner Gewalt gezeichnet, so dass der Vollzug der Wegweisung dorthin grundsätzlich zumutbar erscheint.</w:t>
      </w:r>
    </w:p>
    <w:p>
      <w:r>
        <w:rPr>
          <w:b/>
        </w:rPr>
        <w:t>E. 7.2.2</w:t>
      </w:r>
    </w:p>
    <w:p>
      <w:r>
        <w:t>In den Akten finden sich auch keine konkreten Anhaltspunkte dafür, dass der Beschwerdeführer aus individuellen Gründen wirtschaftlicher, sozialer oder gesundheitlicher Natur in eine existenzbedrohende Situation geraten würde. Der Beschwerdeführer ist (...) und macht keine wesentlichen gesundheitlichen Beeinträchtigungen geltend (die geäusserten Probleme mit (Organ) [vgl. A1 S. 2] lassen nicht auf eine konkrete Gefährdung aufgrund einer medizinischen Notlage schliessen, die im Heimatstaat nicht behandelbar wäre, zumal der Beschwerdeführer gemäss eigenen Angaben im Heimatland entsprechend medizinisch versorgt wurde [vgl. A13 S. 12]). Er hat seit seiner Geburt in C._______ gelebt und ist somit mit den dortigen Verhältnissen bestens vertraut. Zudem verfügt er mit (Aufzählung Verwandte) über ein grosses verwandtschaftliches Beziehungsnetz im Heimatland (vgl. A1 S. 3 f.). Gemäss eigenen Angaben hat er seit mehreren Jahren als Schneider gearbeitet, was ihm ein ausreichendes monatliches Einkommen sicherte (vgl. A1 S. 2 f.). Es ist somit nicht davon auszugehen, er würde bei einer Rückkehr in eine seine Existenz vernichtende Situation geraten, die als konkrete Gefährdung im Sinne der zu beachtenden Bestimmungen zu werten wäre (Art. 83 Abs. 4 AuG).</w:t>
      </w:r>
    </w:p>
    <w:p>
      <w:r>
        <w:rPr>
          <w:b/>
        </w:rPr>
        <w:t>E. 7.2.3</w:t>
      </w:r>
    </w:p>
    <w:p>
      <w:r>
        <w:t>Der Vollzug der Wegweisung erweist sich daher sowohl in genereller als auch in individueller Hinsicht als zumutbar.</w:t>
      </w:r>
    </w:p>
    <w:p>
      <w:r>
        <w:rPr>
          <w:b/>
        </w:rPr>
        <w:t>E. 7.3</w:t>
      </w:r>
    </w:p>
    <w:p>
      <w:r>
        <w:t>Schliesslich obliegt es dem Beschwerdeführer, bei der Beschaffung gültiger Reisepapiere mitzuwirken (Art. 8 Abs. 4 AsylG), weshalb der Vollzug der Wegweisung auch als möglich zu bezeichnen ist (Art. 83 Abs. 2 AuG).</w:t>
      </w:r>
    </w:p>
    <w:p>
      <w:r>
        <w:rPr>
          <w:b/>
        </w:rPr>
        <w:t>E. 7.4</w:t>
      </w:r>
    </w:p>
    <w:p>
      <w:r>
        <w:t>Insgesamt ist der durch die Vorinstanz verfügte Wegweisungsvollzug zu bestätigen. Das BFM hat diesen zu Recht als zulässig, zumutbar und möglich erachtet. Eine Anordnung der vorläufigen Aufnahme des Beschwerdeführers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die Kosten dem Beschwerdeführer aufzuerlegen (Art. 63 Abs. 1 und 5 VwVG). Sie sind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