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D-2585/2010 vom 27. Mai 2010</w:t>
      </w:r>
    </w:p>
    <w:p>
      <w:r>
        <w:t>Bundesverwaltungsgericht, 2010-05-27, DE</w:t>
      </w:r>
    </w:p>
    <w:p>
      <w:r>
        <w:rPr>
          <w:b/>
        </w:rPr>
        <w:t xml:space="preserve">Quelle: </w:t>
      </w:r>
      <w:r>
        <w:t>https://mcp.opencaselaw.ch/entscheid/bvger_D-2585_2010</w:t>
      </w:r>
    </w:p>
    <w:p>
      <w:r>
        <w:t>FR: TAF D-2585/2010 du 27 mai 2010</w:t>
      </w:r>
    </w:p>
    <w:p>
      <w:r>
        <w:t>IT: TAF D-2585/2010 del 27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Für das Bundesverwaltungsgericht besteht nach Überprüfung der Akten keine Veranlassung, die Erwägungen des BFM zu beanstanden. Um Wiederholungen zu vermeiden, kann daher vorab auf die zutreffenden vorinstanzlichen Ausführungen in der angefochtenen Verfügung verwiesen werden. Die Vorbringen in der Rechtsmitteleingabe vom 15. April 2010 sind nicht geeignet, eine Änderung dieser Verfügung zu bewirken. Der Argumentation des BFM werden keine stichhaltigen Gründe entgegengesetzt. Der Beschwerdeführer hat sich - wie bereits vom BFM in der angefochtenen Verfügung dargelegt - in seinen Ausführungen anlässlich der Befragung vom 13. Oktober 2008 und der Anhörung vom 29. Dezember 2009 in zentralen Punkten in Widersprüche verstrickt. Während der Befragung gab er zu Protokoll, er habe am 10. Juli 2008 mit einer Nachbarin geschlafen und sei von deren Ehemann in flagranti erwischt worden (vgl. A1, S. 4). Dagegen sagte er anlässlich der Anhörung, der oben erwähnte Vorfall sei am 5. Juni 2008 passiert (vgl. A10, S. 2), und er habe nicht mit der Frau geschlafen (vgl. A10, S. 9 sowie S. 13 und 15). Zudem gab er in der Befragung zu Protokoll, der Ehemann sei hochgekommen und habe sie überrascht, während dem er anlässlich der Anhörung sagte, das Haus der Nachbarin habe nur ein Erdgeschoss (vgl. A10, S. 8 und 13). Die diesbezügliche Begründung in der Beschwerdeschrift - die widersprüchlichen Angaben würden auf Missverständnissen und Verständigungsproblemen zwischen dem Beschwerdeführer und dem Dolmetscher beruhen (vgl. Beschwerdeeingabe vom 15. April 2010 S. 7) - erscheinen als unbehelflich und vermögen nicht zu überzeugen, zumal der Beschwerdeführer die Richtigkeit der Angaben beider Protokolle mit seiner Unterschrift bestätigt hat und keine entsprechenden Beanstandungen (weder von ihm noch seitens der Hilfswerksvertretung) ersichtlich sind. Aufgrund der oben erwähnten Widersprüche und der von der Vorinstanz dargelegten Erwägungen können somit die Vorbringen des Beschwerdeführers nicht geglaubt werden.</w:t>
      </w:r>
    </w:p>
    <w:p>
      <w:r>
        <w:rPr>
          <w:b/>
        </w:rPr>
        <w:t>E. 5.2</w:t>
      </w:r>
    </w:p>
    <w:p>
      <w:r>
        <w:t>Auch der mit der Beschwerde vorerst in Kopie und danach im Original eingereichte Haftbefehl samt deutscher Übersetzung ist nicht geeignet, diese Einschätzung in Frage zu stellen. Dieser Haftbefehl ist angeblich wegen einer Vergewaltigung ausgestellt worden, der Beschwerdeführer hat jedoch nie etwas von einer Vergewaltigung erzählt und auch in der Beschwerde wird nicht plausibel vorgebracht, weshalb die Behörden ihn wegen einer Vergewaltigung festnehmen wollen. Überdies solle der Haftbefehl entsprechend beigelegter Übersetzung (siehe Beilage 2 der Beschwerdeeingabe vom 15. April 2010) auf den Angeklagten "X._______" lauten. Gemäss eigenen Angaben sei der korrekte Name des Beschwerdeführers jedoch "Y._______" (vgl. Beschwerdeeingabe vom 15. April 2010 S. 4). Somit verstrickt sich der Beschwerdeführer auch betreffend den eingereichten Haftbefehl in Widersprüche, weshalb er diesbezüglich nichts zu seinen Gunsten ableiten kann.</w:t>
      </w:r>
    </w:p>
    <w:p>
      <w:r>
        <w:rPr>
          <w:b/>
        </w:rPr>
        <w:t>E. 5.3</w:t>
      </w:r>
    </w:p>
    <w:p>
      <w:r>
        <w:t>Das Bundesverwaltungsgericht kommt somit nach einer Prüfung der Akten und der Rechtsmitteleingabe zum Schluss, dass die Ausführungen in der Beschwerde nicht geeignet sind, die Erwägungen der Vorinstanz zu entkräften. Die Vorbringen des Beschwerdeführers erfüllen weder die Anforderungen an die Flüchtlingseigenschaft nach Art. 3 AsylG noch diejenigen an die Glaubhaftmachung gemäss Art. 7 AsylG. Demzufolge hat das BFM zu Recht die Flüchtlingseigenschaft des Beschwerdeführers verneint und das Asylgesuch abgelehnt. An dieser Einschätzung vermögen auch die übrigen eingereichten Beweismittel, zwei Internetberichte und ein Positionspapier der Schwei-zerischen Flüchtlingshilfe, nichts zu ändern.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Das Bundesverwaltungsgericht hat sich im Grundsatzurteil BVGE 2008/5 vom 14. März 2008 ausführlich mit der Frage der Zumutbarkeit des Wegweisungsvollzugs in den kurdisch verwalteten Nordirak befasst. Es gelangte zum Schluss, dass in den drei kurdischen Provinzen Dohuk, Erbil und Sulaymaniya keine Situation allgemeiner Gewalt herrscht und die dortige politische Lage nicht dermassen angespannt ist, als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und dort nach wie vor über ein soziales Netz oder Parteibeziehungen verfügen, zumutbar ist. Demgegenüber ist für alleinstehende Frauen und für Familien mit Kindern, sowie für Kranke und Betagte bei der Feststellung der Zumutbarkeit des Wegweisungsvollzugs grosse Zurückhaltung angebracht (vgl. a.a.O. E. 7.5 und insbesondere 7.5.8).</w:t>
      </w:r>
    </w:p>
    <w:p>
      <w:r>
        <w:rPr>
          <w:b/>
        </w:rPr>
        <w:t>E. 7.4.2</w:t>
      </w:r>
    </w:p>
    <w:p>
      <w:r>
        <w:t>Der Beschwerdeführer, von dem keine gesundheitlichen Probleme aktenkundig sind, lebte seit seiner Geburt in C._______ im Nordirak (vgl. A1, S. 1) und arbeitete die letzten Jahre vor seiner Ausreise zusammen mit seinem Bruder als Bäcker in der eigenen Bäckerei (vgl. A1, S. 2 und A10, S. 2). Angesichts des jungen Alters des Beschwerdeführers ist davon auszugehen, dass eine Reintegration in den Arbeitsmarkt möglich sein wird. Er verfügt in seiner Heimat über ein familiäres und soziales Beziehungsnetz (vgl. A2, S. 2). Bei der Wiedereingliederung werden ihm seine in der Heimat verbliebenen Verwandten behilflich sein können. Zudem sind keine weiteren persönlichen Gründe ersichtlich, aufgrund derer unter Umständen geschlossen werden könnte, der Beschwerdeführer gerate im Falle der Rückkehr in eine existenzbedrohende Situation, weshalb der Vollzug der Wegweisung - in Übereinstimmung mit der Vorinstanz - auch diesbezüglich als zumutbar zu bezeichnen ist.</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4. Mai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