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D-2577/2010 vom 22. November 2011</w:t>
      </w:r>
    </w:p>
    <w:p>
      <w:r>
        <w:t>Bundesverwaltungsgericht, 2011-11-22, DE</w:t>
      </w:r>
    </w:p>
    <w:p>
      <w:r>
        <w:rPr>
          <w:b/>
        </w:rPr>
        <w:t xml:space="preserve">Quelle: </w:t>
      </w:r>
      <w:r>
        <w:t>https://mcp.opencaselaw.ch/entscheid/bvger_D-2577_2010</w:t>
      </w:r>
    </w:p>
    <w:p>
      <w:r>
        <w:t>FR: TAF D-2577/2010 du 22 novembre 2011</w:t>
      </w:r>
    </w:p>
    <w:p>
      <w:r>
        <w:t>IT: TAF D-2577/2010 del 22 novembre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einer Beschwerde legitimiert. Der genaue Zeitpunkt der Eröffnung des Urteils ist zwar weder durch einen Empfangsschein noch durch eine Empfangsbestätigung belegt, doch liegt in einem solchen Fall die Beweislast bei den Behörden (vgl. André Moser/Michael Beusch/Lorenz Kneubühler, Prozessieren vor dem Bundesverwaltungsgericht, Handbücher für die Anwaltspraxis, Band X, Basel 2008, Rz. 2 150, S. 166 f.). Es wird demnach von der Rechtzeitigkeit der Beschwerdeeinreichung ausgegangen. Auf die formgerecht eingereichte Beschwerde ist somit einzutreten (Art. 105 sowie Art. 108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Das Bundesamt kann ein im Ausland eingereichtes Asylgesuch ablehnen, wenn die gesuchstellende Person keine Verfolgung glaubhaft machen oder ihr die Aufnahme in einem Drittstaat zugemutet werden kann (Art. 3, Art. 7 und Art. 52 Abs. 2 AsylG). Umgekehrt führt es (noch) nicht zur Anerkennung als Flüchtling und zur Gewährung von Asyl durch die Schweiz, wenn die bei einer Vertretung im Ausland um Asyl nachsuchende Person glaubhaft zu machen vermag, dass für sie eine unmittelbare Gefahr für Leib und Leben oder für die Freiheit aus einem Grund nach Art. 3 AsylG besteht. Diesfalls kann dem Asylsuchenden lediglich von der durch das Eidgenössische Justiz- und Polizeidepartement (EJPD) dazu ermächtigten schweizerischen Vertretung die Einreise in die Schweiz im Hinblick auf die Zuerkennung der Flüchtlingseigenschaft und die Asylgewährung bewilligt werden (Art. 20 Abs. 3 AsylG). Die Einreise in die Schweiz wird einer im Ausland um Asyl nachsuchenden Person ausserdem zur Abklärung des Sachverhaltes bewilligt, wobei die Bewilligung durch das Bundesamt und nur unter der Bedingung erteilt wird, dass der Person nicht zugemutet werden kann, im Wohnsitz- oder Aufenthaltsstaat zu bleiben oder in ein anderes Land auszureisen (Art. 20 Abs. 2 AsylG). Beim Entscheid über die Erteilung einer Einreisebewilligung gelten restriktive Voraussetzungen, wobei den Behörden ein weiter Ermessensspielraum zukommt. Neben der erforderlichen Gefährdung im Sinne von Art. 3 AsylG sind grundsätzlich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eine effektive Möglichkeit anderweitiger Schutzsuche besteht, mithin der Verbleib am Aufenthaltsort für die Dauer der Sachverhaltsabklärung zugemutet werden kann. Im Weiteren gilt es zu berücksichtigen, dass gemäss einem völkerrechtlichen Grundsatz eine Person, die eine Staatsangehörigkeit besitzt, die Flüchtlingseigenschaft nur dann erlangen kann, wenn sie sich ausserhalb des Staates aufhält, dem sie angehört. Befindet sich die um Asyl nachsuchende Person noch in ihrem Heimatstaat, stellt sich mit anderen Worten die Frage der formellen Zuerkennung der Flüchtlingseigenschaft nicht. Folgerichtig ist bei einem Verbleib im Heimatstaat nicht über die Zuerkennung der Flüchtlingseigenschaft und der Gewährung von Asyl zu befinden, auch dann nicht, wenn eine Verfolgung im Sinne von Art. 3 AsylG glaubhaft gemacht ist (vgl. EMARK 2005 Nr. 19 E. 4 S. 174 ff., EMARK 2004 Nr. 20 E. 3b S. 130 f. und Nr. 21 E. 2 S. 136 f., EMARK 1997 Nr. 15 E. 2.e-g S. 130 ff., welcher ange­sichts bloss redaktioneller Änderungen bei der letzten Totalrevision des Asyl­gesetzes nach wie vor Gültigkeit hat).</w:t>
      </w:r>
    </w:p>
    <w:p>
      <w:r>
        <w:rPr>
          <w:b/>
        </w:rPr>
        <w:t>E. 4.4</w:t>
      </w:r>
    </w:p>
    <w:p>
      <w:r>
        <w:t>Hinsichtlich des Ver­fahrens bei der schweizerischen Vertre­tung im Ausland sieht Art. 10 Abs. 1 AsylV 1 vor, dass diese mit der asyl­suchenden Person in der Regel eine Befragung durchführt. Ist dies nicht mög­lich, so wird die asylsuchen­de Per­son auf­gefordert, ihre Asylgründe schriftlich festzuhalten (Art. 10 Abs. 2 AsylV 1; vgl. hierzu auch BVGE 2007/30). Vorliegend führte die Schweizer Vertretung in Colombo am 19. Februar 2009 eine persönliche Befragung des Beschwerdeführers gemäss Art. 10 Abs. 1 AsylV 1 durch.</w:t>
      </w:r>
    </w:p>
    <w:p>
      <w:r>
        <w:rPr>
          <w:b/>
        </w:rPr>
        <w:t>E. 5.1</w:t>
      </w:r>
    </w:p>
    <w:p>
      <w:r>
        <w:t>Bei der Anhörung vom 19. Februar 2009 machte der Beschwerdeführer geltend, er sei für die Anhörung aus Doha angereist (vgl. Anhörungsprotokoll vom 17. Februar 2009 S. 3), wo er einer Erwerbstätigkeit nachgegangen sei. Er habe sich bereits in den Jahren 2005 - 2007 in Katar und von 2004 bis 2005 in Saudi-Arabien aufgehalten (vgl. a.a.O. S. 6).</w:t>
      </w:r>
    </w:p>
    <w:p>
      <w:r>
        <w:rPr>
          <w:b/>
        </w:rPr>
        <w:t>E. 5.2</w:t>
      </w:r>
    </w:p>
    <w:p>
      <w:r>
        <w:t>Hält sich die Person, die ein Asylgesuch aus dem Ausland gestellt hat, in einem Drittstaat auf, bedeutet dies nicht zwingend, dass es ihr auch zuzumuten ist, sich dort um Aufnahme zu bemühen (vgl. EMARK 2004 Nr. 21 E. 4). In einem solchen Falle ist aber im Sinne einer Regelvermutung davon auszugehen, die betreffende Person habe in diesem Drittstaat bereits anderweitig Schutz gefunden, was in der Regel zur Ablehnung des Asylgesuchs und der Verweigerung der Einreisebewilligung führt (vgl. Urteil des Bundesverwaltungsgerichts E-7996/2008 vom 10. Dezember 2009 E. 2.2). In jedem Falle sind die Kriterien zu prüfen, welche die Zufluchtnahme in diesem Drittstaat als zumutbar erscheinen lassen, und diese sind mit einer allfälligen Beziehungsnähe zur Schweiz abzuwägen. Es gilt also zu prüfen, ob es aufgrund der gesamten Umstände geboten erscheint, dass es gerade die Schweiz ist, die den erforderlichen Schutz einer Person gewähren soll (vgl. EMARK 2004 Nr. 21 E. 4; EMARK 1997 Nr. 15 E. 2f).</w:t>
      </w:r>
    </w:p>
    <w:p>
      <w:r>
        <w:rPr>
          <w:b/>
        </w:rPr>
        <w:t>E. 5.3</w:t>
      </w:r>
    </w:p>
    <w:p>
      <w:r>
        <w:t>Eigenen Angaben zufolge lebte der Beschwerdeführer sowohl in Saudi-Arabien als auch in Katar, wo er beide Male erwerbstätig war. Seinen eigenen Aussagen zufolge verliess er Katar letztmals am 19. Februar 2009, um in der Schweizer Vertretung in Colombo zu seinen Asylgründen angehört werden zu können (vgl. Anhörungsprotokoll S. 3). Er habe seinem Arbeitgeber erklärt, er müsse wegen einer Familienangelegenheit ("family emergency") nach Sri Lanka reisen (vgl. a.a.O., S. 3). Der eingereichten Kopie seines Reisepasses zufolge ist der Beschwerdeführer seit dem Jahre 2004 mehrmals aus Sri Lanka aus- und problemlos wieder eingereist. Seinen eigenen Aussagen zufolge könne er zwar nicht nach E._______ gehen, aber am Flughafen in Colombo habe er keine Probleme (vgl. a.a.O, S. 3, "in Colombo there ist no problem"). Folglich lebt der Beschwerdeführer gegenwärtig nicht in Sri Lanka, sondern in Katar, wo sein Aufenthalt geregelt ist und er seinen Lebensunterhalt als Privatchauffeur eines Unternehmers (vgl. a.a.O., S. 3) verdient. Somit erscheint der weitere Aufenthalt des Beschwerdeführers in Katar als zumutbar. Zudem beweisen die wiederholten problemlosen Ein- und Ausreisen, dass dem Beschwerdeführer in seinem Heimatland keine asylrechtlich relevante Verfolgung droht.</w:t>
      </w:r>
    </w:p>
    <w:p>
      <w:r>
        <w:rPr>
          <w:b/>
        </w:rPr>
        <w:t>E. 5.4</w:t>
      </w:r>
    </w:p>
    <w:p>
      <w:r>
        <w:t>Es ist somit dem Beschwerdeführer nicht gelungen, eine Verfolgung im Sinne von Art. 3 AsylG nachzuweisen oder zumindest glaubhaft zu machen. Die Schutzbedürftigkeit des Beschwerdeführers im Sinne von Art. 20 i.V.m. Art. 3 AsylG ist mithin als nicht gegeben zu qualifizieren, und es liegen auch keine anderen Gründe vor, welche die Erteilung von Einreise­bewilligungen indizieren würden. Die Vorinstanz hat folglich das Aus­landsgesuch im Ergebnis zu Recht abgewiesen.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grundsätzlich dem Beschwerdeführer aufzuerlegen (Art. 63 Abs. 1 und 5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