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D-2575/2024 vom 21. März 2024</w:t>
      </w:r>
    </w:p>
    <w:p>
      <w:r>
        <w:t>Bundesverwaltungsgericht, 2024-03-21, DE</w:t>
      </w:r>
    </w:p>
    <w:p>
      <w:r>
        <w:rPr>
          <w:b/>
        </w:rPr>
        <w:t xml:space="preserve">Quelle: </w:t>
      </w:r>
      <w:r>
        <w:t>https://mcp.opencaselaw.ch/entscheid/bvger_D-2575_2024_d20240321</w:t>
      </w:r>
    </w:p>
    <w:p>
      <w:r>
        <w:t>FR: TAF D-2575/2024 du 21 mars 2024</w:t>
      </w:r>
    </w:p>
    <w:p>
      <w:r>
        <w:t>IT: TAF D-2575/2024 del 21 marzo 2024</w:t>
      </w:r>
    </w:p>
    <w:p>
      <w:pPr>
        <w:pStyle w:val="Heading2"/>
      </w:pPr>
      <w:r>
        <w:t>Regeste</w:t>
      </w:r>
    </w:p>
    <w:p>
      <w:r>
        <w:t>Asyl (ohne Wegweisungsvollzug) | Asyl (ohne Wegweisungsvollzug); Verfügung des SEM vom 21. März 2024</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so auch hier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 nachdem auch der Kostenvorschuss frist- gerecht geleistet worden ist.</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 ständigkeit mit Zustimmung eines zweiten Richters beziehungsweise einer zweiten Richterin entschieden (Art. 111 Bst. e AsylG).</w:t>
      </w:r>
    </w:p>
    <w:p>
      <w:r>
        <w:t>D-2575/2024 Seite 4</w:t>
      </w:r>
    </w:p>
    <w:p>
      <w:r>
        <w:rPr>
          <w:b/>
        </w:rPr>
        <w:t>E. 4</w:t>
      </w:r>
    </w:p>
    <w:p>
      <w:r>
        <w:t>Soweit der Beschwerdeführer eine Verletzung des Akteneinsichtsrechts, der Untersuchungspflicht, der Begründungspflicht, des Anspruchs auf rechtliches Gehör und des Willkürverbot rügt, ist festzuhalten, dass sich mit Blick auf den Ausgang des Verfahrens (vgl. E. 7.1) eine Auseinanderset- zung mit den weiteren formellen Rügen erübrigt.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w:t>
      </w:r>
    </w:p>
    <w:p>
      <w:r>
        <w:t>D-2575/2024 Seite 5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ist der Ausgangspunkt die im Zeitpunkt der Ausreise der asylsuchenden Person bestehende Verfol- gungssituation. Nach Lehre und Praxis wird jedoch dann auf die Gefähr- dungslage im Moment des Asylentscheides abgestellt, wenn sich die Lage im Heimatstaat zwischen Ausreise und Asylentscheid massgeblich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w:t>
      </w:r>
    </w:p>
    <w:p>
      <w:r>
        <w:t>D-2575/2024 Seite 6 aktuellen Situation in Syrien vor dem Hintergrund der Ereignisse seit dem</w:t>
      </w:r>
    </w:p>
    <w:p>
      <w:r>
        <w:rPr>
          <w:b/>
        </w:rPr>
        <w:t>E. 7.1</w:t>
      </w:r>
    </w:p>
    <w:p>
      <w:r>
        <w:t>Nach dem Gesagten ist die Beschwerde gutzuheissen, soweit die Rückweisung zur Neubeurteilung an die Vorinstanz beantragt wird. Das SEM ist aufzufordern, die erforderlichen Massnahmen durchzuführen und gestützt auf die entsprechenden Erkenntnisse das Asylgesuch des Beschwerdeführers erneut zu prüfen.</w:t>
      </w:r>
    </w:p>
    <w:p>
      <w:r>
        <w:rPr>
          <w:b/>
        </w:rPr>
        <w:t>E. 7.2</w:t>
      </w:r>
    </w:p>
    <w:p>
      <w:r>
        <w:t>Vor diesem Hintergrund erübrigt sich ein weiteres Eingehen auf die Beschwerdevorbringen und eine Auseinandersetzung mit den im Rahmen des Beschwerdeverfahrens eingereichten Beweismitteln, weil diese ebenfalls Gegenstand des wiederaufzunehmenden erstinstanzlichen Verfahrens sein werden und demnach in die Beurteilungskompetenz der Vorin-stanz fallen.</w:t>
      </w:r>
    </w:p>
    <w:p>
      <w:r>
        <w:rPr>
          <w:b/>
        </w:rPr>
        <w:t>E. 8</w:t>
      </w:r>
    </w:p>
    <w:p>
      <w:r>
        <w:t>Dezember 2024 vorzunehmen. Sondern es ist auch danach zu fragen, inwiefern sich die betreffenden Veränderungen der Lage im Heimatstaat auf die Beurteilung der Frage der Flüchtlingseigenschaft und Asylgewäh- rung in Bezug auf den Beschwerdeführer – selbst wenn die geltend ge- machten Vorfluchtgründe mit dem SEM als unglaubhaft zu qualifizieren wä- ren – auswirken (vgl. dazu auch Urteil des BVGer D-3877/2023 vom 23. Juli 2025 E. 6.4). Eine solche umfassende Beurteilung eines grundle- gend veränderten Sachverhalts ist nicht auf Beschwerdeebene, sondern im Rahmen eines erstinstanzlichen Verfahrens durch das SEM vorzuneh- men. Es rechtfertigt sich deshalb eine Kassation der angefochtenen Verfü- gung. Dabei wird durch die Vorinstanz bei der Abklärung des Sachverhalts zum einen die erforderliche allgemeine Lagebeurteilung vorzunehmen, zum anderen dem Beschwerdeführer in angemessener Weise das rechtli- che Gehör zu erteilen sein. Im Übrigen bleibt auf diese Weise der Instan- zenzug erhalten, was umso wesentlicher ist, als das Bundesverwaltungs- gericht im Anwendungsbereich des Asylgesetzes als einzige gerichtliche Behörde und mithin letztinstanzlich entscheidet. 7. 7.1 Nach dem Gesagten ist die Beschwerde gutzuheissen, soweit die Rückweisung zur Neubeurteilung an die Vorinstanz beantragt wird. Das SEM ist aufzufordern, die erforderlichen Massnahmen durchzuführen und gestützt auf die entsprechenden Erkenntnisse das Asylgesuch des Be- schwerdeführers erneut zu prüfen. 7.2 Vor diesem Hintergrund erübrigt sich ein weiteres Eingehen auf die Be- schwerdevorbringen und eine Auseinandersetzung mit den im Rahmen des Beschwerdeverfahrens eingereichten Beweismitteln, weil diese eben- falls Gegenstand des wiederaufzunehmenden erstinstanzlichen Verfah- rens sein werden und demnach in die Beurteilungskompetenz der Vorin- stanz fallen.</w:t>
      </w:r>
    </w:p>
    <w:p>
      <w:r>
        <w:rPr>
          <w:b/>
        </w:rPr>
        <w:t>E. 8.1</w:t>
      </w:r>
    </w:p>
    <w:p>
      <w:r>
        <w:t>Bei diesem Ausgang des Verfahrens sind keine Kosten zu erheben (Art. 63 Abs. 1 und 2 VwVG). Der bereits einbezahlte Kostenvorschuss ist dem Beschwerdeführer zurückzuerstatten.</w:t>
      </w:r>
    </w:p>
    <w:p>
      <w:r>
        <w:rPr>
          <w:b/>
        </w:rPr>
        <w:t>E. 8.2</w:t>
      </w:r>
    </w:p>
    <w:p>
      <w:r>
        <w:t>Dem vertretenen Beschwerdeführer ist angesichts seines Obsiegens in Anwendung von Art. 64 VwVG und Art. 7 Abs. 1 des Reglements vom 21. Februar 2008 über die Kosten und Entschädigungen vor dem</w:t>
      </w:r>
    </w:p>
    <w:p>
      <w:r>
        <w:t>D-2575/2024 Seite 7 Bundesverwaltungsgericht (VGKE, SR 173.320.2) eine Entschädigung für die ihm notwendigerweise erwachsenen Parteikosten zuzusprechen. Es wurde keine Kostennote eingereicht, weshalb die notwendigen Parteikos- ten aufgrund der Akten zu bestimmen sind (Art. 14 Abs. 2 in fine VGKE). Gestützt auf die in Betracht zu ziehenden Bemessungsfaktoren (Art. 9–13 VGKE) ist dem Beschwerdeführer zulasten der Vorinstanz eine Parteient- schädigung von insgesamt Fr. 800.– zuzusprechen.</w:t>
      </w:r>
    </w:p>
    <w:p>
      <w:r>
        <w:t>(Dispositiv nächste Seite)</w:t>
      </w:r>
    </w:p>
    <w:p>
      <w:r>
        <w:t>D-2575/2024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