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D-2572/2007 vom 4. Oktober 2007</w:t>
      </w:r>
    </w:p>
    <w:p>
      <w:r>
        <w:t>Bundesverwaltungsgericht, 2007-10-04, DE</w:t>
      </w:r>
    </w:p>
    <w:p>
      <w:r>
        <w:rPr>
          <w:b/>
        </w:rPr>
        <w:t xml:space="preserve">Quelle: </w:t>
      </w:r>
      <w:r>
        <w:t>https://mcp.opencaselaw.ch/entscheid/bvger_D-2572_2007</w:t>
      </w:r>
    </w:p>
    <w:p>
      <w:r>
        <w:t>FR: TAF D-2572/2007 du 4 octobre 2007</w:t>
      </w:r>
    </w:p>
    <w:p>
      <w:r>
        <w:t>IT: TAF D-2572/2007 del 4 ottobre 2007</w:t>
      </w:r>
    </w:p>
    <w:p>
      <w:pPr>
        <w:pStyle w:val="Heading2"/>
      </w:pPr>
      <w:r>
        <w:t>Regeste</w:t>
      </w:r>
    </w:p>
    <w:p>
      <w:r>
        <w:t>Asylverfahren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Damit ist die Beschwerde an das Bundeverwaltungsgericht zulässig gegen Verfügungen des BFM (vgl. Art. 33 Bst. d VGG), welche gestützt auf das Asylgesetz vom 26. Juni 1998 (AsylG, SR 142.31) erlassen wurden; das Bundesverwaltungsgericht entscheidet in diesem Bereich endgültig (Art. 105 AsylG; Art. 83 Bst. d Ziff. 1 des Bundesgesetzes vom 17. Juni 2005 über das Bundesgericht [Bundesgerichtsgesetz, BGG, SR 173.110]).</w:t>
      </w:r>
    </w:p>
    <w:p>
      <w:r>
        <w:rPr>
          <w:b/>
        </w:rPr>
        <w:t>E. 1.2</w:t>
      </w:r>
    </w:p>
    <w:p>
      <w:r>
        <w:t>Gemäss Art. 37 VGG richtet sich das Verfahren vor dem Bundesverwaltungsgericht nach den Bestimmungen des VwVG, soweit das VGG nichts anderes bestimmt. Die Regeln des VGG über die Zuständigkeit des Bundesverwaltungerichts als Beschwerdeeinstanz (Art. 3134) enthalten keine spezifischen Aussagen zur Frage, in wessen Kompetenz die Behandlung von Rechtsverweigerungs- und Rechtsverzögerungsbeschwerden fällt. Art. 46a VwVG besagt, dass gegen das unrechtmässige Verweigern oder Verzögern einer anfechtbaren Verfügung Beschwerde geführt werden kann. Wie beim Entscheid über die erstmalige Zuweisung an einen Kanton (Art. 27 Abs. 3 AsylG, vgl. Bst. B hiervor) handelt es sich beim Entscheid über ein Gesuch eines bereits zugewiesenen Asylbewerbers um Bewilligung eines Wechsels in einen bestimmten Kanton (Art. 22 Abs. 2 AsylV 1) um eine selbständig beim Bundesverwaltungsgericht anfechtbare Zwischenverfügung (Art. 107 Abs. 1 AsylG, Art. 32 VGG e contrario).</w:t>
      </w:r>
    </w:p>
    <w:p>
      <w:r>
        <w:rPr>
          <w:b/>
        </w:rPr>
        <w:t>E. 2.1</w:t>
      </w:r>
    </w:p>
    <w:p>
      <w:r>
        <w:t>Die Frage der Prozessfähigkeit ist als Sachurteilsvoraussetzung von Amtes wegen zu prüfen (Fritz Gygi, Bundesverwaltungsrechtspflege, 2. Aufl., Bern 1983, S. 73).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Zivilgesetzbuches vom 10. Dezember 1907 [ZGB, SR 210] sowie Art. 35 i.V.m. Art. 20 Abs. 1 Bst. a des Bundesgesetzes vom 18. Dezember 1987 über das Internationale Privatrecht [IPRG, SR 291]). Die Beschwerdeführer sind gemäss ihren mündlichen Angaben und den von ihnen eingereichten Pässen und Geburtsurkunden am 25. Juni 1988 (Beschwerdeführer 1), am 1. April 1989 (Beschwerdeführer 2) und am 22. Februar 1990 (Beschwerdeführer 3) geboren. Stellte man auf diese Daten ab, wären der Beschwerdeführer 2 und der Beschwerdeführer 3 bei der Einreichung der Beschwerde am 30. März 2007 knapp unter 18 Jahre beziehungsweise knapp über 17 Jahre alt und damit unmündig gewesen. Urteilsfähige Unmündige können sich grundsätzlich nur mit Zustimmung des gesetzlichen Vertreters durch ihre Handlungen verpflichten (Art. 19 Abs. 1 ZGB). Rechte, die ihnen um ihrer Persönlichkeit willen zustehen, vermögen sie jedoch ohne Zustimmung des gesetzlichen Vertreters selbständig auszuüben (Art. 19 Abs. 2 ZGB). Das Einreichen eines Asylgesuches wie auch die Ergreifung von damit zusammenhängenden Rechtsmitteln sind so genannt "höchstpersönliche" Rechte, die ein nicht mündiger, aber urteilsfähiger Gesuchsteller ohne Zustimmung seines gesetzlichen Vertreters ausüben kann (vgl. EMARK 1996 Nr. 5).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2 und des Beschwerdeführers 3 in Bezug auf das vorliegende Beschwerdeverfahren Anlass geben würden. Insbesondere vermitteln die Protokolle der Anhörungen vom 20. Februar 2006 den Eindruck, der Beschwerdeführer 2 und der Beschwerdeführer 3 seien sich über den Sinngehalt der an sie gerichteten Fragen im Klaren gewesen, hätten sachbezogen darauf geantwortet und sich bei der Darlegung ihrer Asylgründe und persönlichen wie familiären Verhältnisse jederzeit von vernünftigen Überlegungen leiten lassen. Infolgedessen ist von der Urteilsfähigkeit des Beschwerdeführers 2 und des Beschwerdeführers 3 und damit von der Prozessfähigkeit sämtlicher Beschwerdeführer bei Anhebung des vorliegenden Rechtsmittelverfahrens auszugehen. Im Übrigen hätte der Beschwerdeführer 2 im heutigen Zeitpunkt sein 18. Lebensjahr ohnehin vollendet und wäre demnach ebenfalls als mündig zu betrachten (vgl. Art. 14 ZGB).</w:t>
      </w:r>
    </w:p>
    <w:p>
      <w:r>
        <w:rPr>
          <w:b/>
        </w:rPr>
        <w:t>E. 2.2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Hiervon ausgehend, wären die Beschwerdeführer zur Beschwerde gegen die abschlägige Beurteilung ihres Kantonswechselgesuchs befugt; folgerichtig sind sie zur Beschwerde gegen das unrechtmässige Verweigern und Verzögern eines solchen Entscheids legitimiert.</w:t>
      </w:r>
    </w:p>
    <w:p>
      <w:r>
        <w:rPr>
          <w:b/>
        </w:rPr>
        <w:t>E. 2.3</w:t>
      </w:r>
    </w:p>
    <w:p>
      <w:r>
        <w:t>Die Rechtsverweigerungs- und Rechtsverzögerungsbeschwerde unterliegt keiner peremptorischen Frist (Art. 6 AsylG i.V.m. Art. 50 Abs. 2 VwVG). Die Beschwerdeführer reichten ihre Beschwerde in gültiger Form ein (Art. 6 AsylG i.V.m. Art. 52 VwVG). Auf diese ist somit - unter Vorbehalt der nachstehenden Erwägung 2.4 - einzutreten.</w:t>
      </w:r>
    </w:p>
    <w:p>
      <w:r>
        <w:rPr>
          <w:b/>
        </w:rPr>
        <w:t>E. 2.4</w:t>
      </w:r>
    </w:p>
    <w:p>
      <w:r>
        <w:t>Mit der Rechtsverweigerungs- und Rechtsverzögerungsbeschwerde im Sinne von Art. 46a VwVG kann ausschliesslich das unrechtmässige Verweigern und Verzögern einer anfechtbaren Verfügung gerügt werden. Konsequenterweise beschränkt sich die Prüfungsbefugnis der damit befassten Behörde auf die Frage, ob das Gebot des Rechtsschutzes in angemessener Zeit im konkreten Fall verletzt worden ist oder nicht. Dagegen hat sich die Behörde einer Stellungnahme dazu zu enthalten, wie ein unrechtmässig verweigerter oder verzögerter Entscheid inhaltlich hätte ausfallen sollen. Soweit die Beschwerdeführer beantragen, sie seien für die Dauer ihres Asylverfahrens dem Kanton G._______ zuzuweisen (Beschwerdebegehren 2), ist somit auf die Beschwerde nicht einzutreten.</w:t>
      </w:r>
    </w:p>
    <w:p>
      <w:r>
        <w:rPr>
          <w:b/>
        </w:rPr>
        <w:t>E. 3.1</w:t>
      </w:r>
    </w:p>
    <w:p>
      <w:r>
        <w:t>Das Verbot der Rechtsverweigerung beziehungsweise Rechtsverzögerung wird verletzt, wenn eine Gerichts- oder Verwaltungsbehörde untätig bleibt oder das gebotene Handeln über Gebühr hinauszögert, obwohl sie zum Tätigwerden verpflichtet wäre. Eine Rechtsverweigerung ist somit nur dann möglich, wenn ein Anspruch der Privaten auf Behandlung ihrer Begehren besteht (Ulrich Häfelin/Georg Müller/Felix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(a.a.O., Rz 1658).</w:t>
      </w:r>
    </w:p>
    <w:p>
      <w:r>
        <w:rPr>
          <w:b/>
        </w:rPr>
        <w:t>E. 3.2</w:t>
      </w:r>
    </w:p>
    <w:p>
      <w:r>
        <w:t>Vorliegend ist bei einer streng dogmatischen Betrachtung vorweg die Frage aufzuwerfen, ob die Beschwerdeführer sich überhaupt auf einen durchsetzbaren Anspruch auf Behandlung ihres am 31. Mai 2006 eingereichten Kantonswechselgesuchs durch das BFM berufen können. Zur Begründung des Kantonswechselgesuchs machen die Beschwerdeführer geltend, weil in ihrem Fall angesichts der in einem anderen Kanton lebenden Mutter ein Anspruch auf Einheit der Familie bestehe, müsse das BFM unter Beachtung von Art. 22 Abs. 2 AsylV 1 ihre Umteilung in den Wohnkanton der Mutter verfügen, und zwar unabhängig davon, ob die beiden betroffenen Kantone damit einverstanden seien. Exakt diese Begründung hätten sie jedoch auf dem Weg einer Beschwerde gegen die ursprünglichen Zuweisungsentscheide des BFM vom 12. Januar 2006 (vgl. Bst. B hiervor) vorbringen können (vgl. Art. 27 Abs. 3 letzter Satz AsylG). Dass ihre Mutter damals nicht im Kanton G._______, sondern noch im Kanton E._______ Wohnsitz hatte, ist dabei mit Blick auf die vergleichbare geografische Distanz zum Kanton F._______ ohne Belang. Nach ihren Angaben lebten die Beschwerdeführer seit ihrem Eintreffen in der Schweiz im Dezember 2004 in Wohngemeinschaft mit ihrer Mutter in der Stadt E._______. Insofern präsentierten sich die im Kantonswechselgesuch vom 31. Mai 2006 angeführten, das Familienleben erschwerenden Umstände (geografische Distanz, Geldnot) für sie im gleichen Masse bereits im Moment ihrer Zuweisung in den Kanton F._______ am 12. Januar 2006. Aus welchen Gründen sie damals gleichwohl auf eine Anfechtung der Zuweisungsentscheide innert der damaligen gesetzlichen Frist von 10 Tagen beim EJPD verzichtet haben, legen sie nicht im Einzelnen dar. Lediglich im Familiennachzugsgesuch vom 25. August 2006 (vgl. Bst. J.a hiervor) lassen sie hinsichtlich der Nichtanfechtung eines abweisenden Entscheids des zuständigen Amts des Kantons E._______ vom 25. August 2005 über ein erstes Gesuch um Familiennachzug vom 1. Januar 2005 durchblicken, dass sich ihre Mutter damals nicht zuletzt wegen ihrer gesundheitlichen Probleme generell überfordert gefühlt habe. Bei dieser Sachlage charakterisiert sich das Kantonswechselgesuch vom 31. Mai 2006 als Wiedererwägungsgesuch gegen die rechtskräftigen Zuweisungsentscheide vom 12. Januar 2006. Die Beschwerdeführer scheinen diese Auffassung denn auch selbst zu teilen (vgl. Beschwerde vom 30. März 2007 Ziff. 2.1.1. S. 4). Weil im Kantonswechselgesuch zudem Tatsachen geltend gemacht werden, die bei Eintritt der Rechtskraft der Zuweisungsentscheide nach ungenutzt abgelaufener Beschwerdefrist bereits Bestand hatten und den Beschwerdeführern zwangsläufig auch schon damals bekannt waren, erscheint zweifelhaft, ob ein hinreichend substanziiertes Wiedererwägungsgesuch vorliegt, bezüglich dessen eine Eintretens- und Behandlungspflicht seitens der zuständigen Behörde erst greifen würde. Ein Wiedererwägungsgesuch soll grundsätzlich nicht dazu dienen, eine unterlassene förmliche Beschwerde zu ersetzen und die ordentlichen Beschwerdefristen zu umgehen (vgl. Ursina Beerli-Bonorand, Die ausserordentlichen Rechtsmittel des Bundes und der Kantone, Zürich 1985, S. 51). Auf ein Wiedererwägungsgesuch ist daher unter anderem dann gar nicht erst einzutreten, ja es ist darüber nicht einmal in einer anfechtbaren Verfügung zu befinden, wenn zu dessen Begründung ausschliesslich Sachverhaltsbestandteile aufgeführt werden, die auf dem ordentlichen Rechtsmittelweg hätten eingebracht werden können, so dass aus der Rechtsschrift keine tatsächlichen Anhaltspunkte ersichtlich sind, die auf das Vorliegen eines Wiedererwägungsgrundes hindeuten würden (vgl. EMARK 2005 Nr. 25 E. 4.2. und 4.3. S. 227 f., 2003 Nr. 7 E. 4a S. 44). Vorliegend jedoch mit dieser Begründung den Beschwerdeführern einen Anspruch auf formelle Behandlung ihres Kantonswechselgesuchs vom 31. Mai 2006 abzustreiten, würde - angesichts der noch näher darzulegenden Verhaltens- und Argumentationsweise des BFM (vgl. E. 3.3.2 hiernach) - auf einen überspitzten Formalismus hinauslaufen. Dementsprechend lässt sich eine unzulässige Rechtsverweigerung oder Rechtverzögerung nicht allein schon mit dem Argument verneinen, es habe seitens des BFM gar keine objektive Verpflichtung zum Tätigwerden bestanden (vgl. Ulrich Häfelin/Georg Müller/Felix Uhlmann, a.a.O., S. 356, Rz. 1657, S. 357, Rz. 1661 und S. 392, Rz. 1832 f.).</w:t>
      </w:r>
    </w:p>
    <w:p>
      <w:r>
        <w:rPr>
          <w:b/>
        </w:rPr>
        <w:t>E. 3.3.1</w:t>
      </w:r>
    </w:p>
    <w:p>
      <w:r>
        <w:t>Das BFM hat zu keinem Zeitpunkt Zweifel daran entstehen lassen, dass es zum Erlass eines Entscheids über das Kantonswechselgesuch gewillt ist. Eine Rechtsverweigerung fällt damit nicht in Betracht.</w:t>
      </w:r>
    </w:p>
    <w:p>
      <w:r>
        <w:rPr>
          <w:b/>
        </w:rPr>
        <w:t>E. 3.3.2</w:t>
      </w:r>
    </w:p>
    <w:p>
      <w:r>
        <w:t>Hingegen vermag das BFM letztlich nicht stichhaltig zu erklären, inwiefern es wegen nicht selbst zu verantwortender Umstände bis heute nicht hätte in der Lage sein sollen, über das Kantonswechselgesuch vom 31. Mai 2006 zu befinden. Dass der "Sachverhalt äusserst kompliziert" ist, wie das BFM in der Vernehmlassung vom 25. Mai 2007 ausführt, lässt sich nach einer Prüfung der Akten nicht bestätigen. Aus diesen ergibt sich augenfällig, dass das BFM die Beurteilung des Kantonswechselgesuchs von zusätzlichen Abklärungen zur Frage abhängig macht, ob zwischen den Beschwerdeführern und der von ihnen als Mutter bezeichneten Person, der Schweizerin H._______, tatsächlich ein Kindesverhältnis besteht. Auch unter Berücksichtigung dessen ist jedoch nicht einzusehen, warum das BFM nicht längstens über das Kantonswechselgesuch befunden hat. So hätte es einerseits die für nötig gehaltenen Untersuchungen zu den verwandtschaftlichen Beziehungen zwischen den Beschwerdeführern und H._______ von Amtes wegen vornehmen oder für den Fall, es hätte die Beschwerdeführer als in diesem Punkt beweisführungspflichtig erachtet, die betreffenden Versäumnisse feststellen und in seinen Entscheid über das Kantonswechselgesuch einfliessen lassen können. Ebenso wenig ist verständlich, warum das BFM mit seinem Entscheid über das Kantonswechselgesuch vom 31. Mai 2006 bis zum Abschluss der Prüfung des am 25. August 2006 beim Kanton G._______ eingereichten Familiennachzugsgesuchs zuwarten sollte, wie es dies den Beschwerdeführern mit Schreiben vom 11. Oktober 2006 in Aussicht gestellt hat. Dass der Kanton G._______ seinerseits eine Stellungnahme zum Kantonswechselgesuch (vgl. Bst. D.b hiervor) offenbar erst für die Zeit nach Beurteilung des ihm unterbreiteten Familiennachzugsgesuchs angekündigt hat (vgl. das erwähnte Schreiben vom 11. Oktober 2006, A53/2), entbindet das BFM nicht von seiner Pflicht, die Dauer des bei ihm hängigen Verfahrens in Sachen Kantonswechselgesuch im Auge zu behalten und seinen Entscheid nicht über Gebühr hinauszuzögern. Das BFM hätte unabhängig von dem beim Kanton G._______ eingereichten Familiennachzugsgesuch entscheiden und dabei sachverhaltsmässig ohne weiteres darauf abstellen können, dass eine Zustimmung beider Kantone im Sinne von Art. 22 Abs. 1 Asyl V nicht vorliegt. Dass es aus Gründen praktischer Natur wie etwa Personalknappheit oder anderweitig verursachter Überlastung bis heute nicht über das Kantonswechselgesuch hat entscheiden können, wird vom BFM nicht als Argument eingebracht. In seiner Vernehmlassung vom 25. Mai 2007 sichert das BFM im Gegenteil zu, es werde - nach Beurteilung der Rechtsverweigerungs- und Rechtsverzögerungsbeschwerde - die notwendigen Abklärungen vornehmen, um über das Kantonswechselgesuch zu entscheiden beziehungsweise die Mutter-Kind-Beziehung zu überprüfen. Warum es diese Abklärungen nicht weit früher vorgenommen hat und nun damit gar bis zum Vorliegen des Urteils über die vorliegende Rechtsverweigerungs- und Rechtsverzögerungsbeschwerde zuwartet, bleibt freilich nicht nachvollziehbar.</w:t>
      </w:r>
    </w:p>
    <w:p>
      <w:r>
        <w:rPr>
          <w:b/>
        </w:rPr>
        <w:t>E. 3.3.3</w:t>
      </w:r>
    </w:p>
    <w:p>
      <w:r>
        <w:t>Damit kann als Fazit festgehalten werden, dass das BFM die Nichtbeurteilung des am 31. Mai 2006 eingereichten Kantonswechselgesuchs bis zum heutigen Tage nicht mit objektiv achtenswerten Gründen zu erklären vermag. Die Dauer des Verfahrens kann unter Berücksichtigung der fallspezifischen Umstände nicht mehr als angemessen bezeichnet werden. Das BFM hat sich demnach vorwerfen zu lassen, den Entscheid über das Kantonswechselgesuch unrechtmässig zu verzögern.</w:t>
      </w:r>
    </w:p>
    <w:p>
      <w:r>
        <w:rPr>
          <w:b/>
        </w:rPr>
        <w:t>E. 3.4</w:t>
      </w:r>
    </w:p>
    <w:p>
      <w:r>
        <w:t>Die Rüge der Rechtsverzögerung erweist sich nach dem Gesagten als begründet. Die Beschwerde ist folgerichtig - soweit auf diese einzutreten ist (vgl. E. 2.4 hiervor) - gutzuheissen, und die Akten sind an das BFM zurückzuleiten mit der Anweisung, umgehend über das Kantonswechselgesuch zu befinden.</w:t>
      </w:r>
    </w:p>
    <w:p>
      <w:r>
        <w:rPr>
          <w:b/>
        </w:rPr>
        <w:t>E. 4.1</w:t>
      </w:r>
    </w:p>
    <w:p>
      <w:r>
        <w:t>Dem Ausgang des Verfahrens entsprechend sind keine Kosten zu erheben (Art. 63 Abs. 1 und 2 VwVG). Damit stellt sich die Frage einer Befreiung der Beschwerdeführer von der Bezahlung von Verfahrenskosten durch das Bundesverwaltungsgericht nicht mehr. Das mit der Beschwerde eingereichte Gesuch um Gewährung der unentgeltlichen Rechtspflege ist daher als gegenstandslos zu betrachten.</w:t>
      </w:r>
    </w:p>
    <w:p>
      <w:r>
        <w:rPr>
          <w:b/>
        </w:rPr>
        <w:t>E. 4.2</w:t>
      </w:r>
    </w:p>
    <w:p>
      <w:r>
        <w:t>Den Beschwerdeführern ist - als in der Hauptsache obsiegender Partei - für die ihnen im Beschwerdeverfahren erwachsenen notwendigen Kosten eine Parteientschädigung zuzusprechen (vgl. Art. 16 Abs. 1 Bst. a VGG i.V.m. Art. 7 Abs. 1 des Reglements über die Kosten und Entschädigungen vor dem Bundesverwaltungsgericht vom 11. Dezember 2006 [VGKE, SR 173.320.2]). Die Rechtsvertreterin der Beschwerdeführer hat eine vom 20. September 2007 datierende Kostennote eingereicht. Sie beziffert darin den Zeitaufwand mit 330 Minuten, was dem Bundesverwaltungsgericht angesichts des Umfangs und dem Schwierigkeitsgrad der Sache - mit Ausnahme des nicht entschädigungspflichtigen Aufwands von 10 Minuten für die Erstellung der Kostennote selbst - angemessen erscheint. Die von ihr den Beschwerdeführern in Rechnung gestellten, wenngleich nicht näher aufgeschlüsselten (vgl. Art. 9 Abs. 1 Bst. b VGKE) Spesen in der Höhe von insgesamt Fr. 53.80 können kulanterweise als noch verhältnismässig bezeichnet werden. Neben den Kosten der Vertretung machen die Beschwerdeführer keine weiteren notwendigen Auslagen geltend (Art. 8 VGKE). Die ihnen geschuldete Parteientschädigung ist alsdann in Berücksichtigung der eingereichten Kostennote (Art. 9 Abs. 1 Bst. a und b VGKE) und des für nichtanwaltliche berufsmässige Vertreter und Vertreterinnen geltenden Stundenansatzes (Art. 10 Abs. 2 VGKE) auf Fr. 913.80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