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D-2571/2014 vom 3. Februar 2016</w:t>
      </w:r>
    </w:p>
    <w:p>
      <w:r>
        <w:t>Bundesverwaltungsgericht, 2016-02-03, DE</w:t>
      </w:r>
    </w:p>
    <w:p>
      <w:r>
        <w:rPr>
          <w:b/>
        </w:rPr>
        <w:t xml:space="preserve">Quelle: </w:t>
      </w:r>
      <w:r>
        <w:t>https://mcp.opencaselaw.ch/entscheid/bvger_D-2571_2014</w:t>
      </w:r>
    </w:p>
    <w:p>
      <w:r>
        <w:t>FR: TAF D-2571/2014 du 3 février 2016</w:t>
      </w:r>
    </w:p>
    <w:p>
      <w:r>
        <w:t>IT: TAF D-2571/2014 del 3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nachfolgendem Vorbehalt (vgl.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11. April 2014 die vorläufige Aufnahme des Beschwerdeführers zufolge Unzumutbarkeit des Wegweisungsvollzugs angeordnet.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des Bundesverwaltungsgerichts vom 28. Oktober 2015 [im Internet publiziert],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mit weiteren Hinweisen). Die in der Beschwerde gestellten Anträge auf Feststellung der Rechtskraft im Wegweisungsvollzugspunkt (d.h. bezüglich der Anordnung der vorläufigen Aufnahme wegen Unzumutbarkeit des Wegweisungsvollzugs) sowie auf eventuelle Feststellung der Unzulässigkeit des Wegweisungsvollzugspunktes - was grundsätzlich im Widerspruch steht mit dem erstgenannten Antrag - sind aus diesen Gründen unzulässig, da es an einem schutzwürdigen Interesse (Art. 48 Abs. 1 Bst. c VwVG) für diese Feststellung fehlt. Der in der Beschwerde gestellte Antrag, "für den Fall, dass nicht die Flüchtlingseigenschaft bejaht werden sollte, wäre in schwieriger Abgrenzung die Unzulässigkeit des Wegweisungsvollzugs wegen drohender Verletzung von Art. 3 EMRK wegen unmenschlicher Behandlung nach der Rückkehr des Beschwerdeführers festzustellen" (a.a.O. S. 40 Art. 73), ist aufgrund der vorstehend erwähnten Alternativität der Wegweisungsvollzugshindernisse unzulässig, da es an einem diesbezüglichen Rechtsschutzinteresse (Art. 25 Abs. 2 VwVG) fehlt, weshalb auf diesen Antrag nicht einzutreten ist.</w:t>
      </w:r>
    </w:p>
    <w:p>
      <w:r>
        <w:rPr>
          <w:b/>
        </w:rPr>
        <w:t>E. 4</w:t>
      </w:r>
    </w:p>
    <w:p>
      <w:r>
        <w:t>Nachfolgend ist auf das Vorbringen in der Beschwerde, wonach das BFM in verschiedener Hinsicht den Anspruch des Beschwerdeführers auf rechtliches Gehör verletzt habe, einzugehen:</w:t>
      </w:r>
    </w:p>
    <w:p>
      <w:r>
        <w:rPr>
          <w:b/>
        </w:rPr>
        <w:t>E. 4.1</w:t>
      </w:r>
    </w:p>
    <w:p>
      <w:r>
        <w:t>In der Beschwerde wird vorgebracht, das BFM habe den Anspruch des Beschwerdeführers auf Akteneinsicht verletzt, indem es die Einsicht in mehrere Aktenstücke verweigert habe. Zur Vermeidung von Wiederholungen ist diesbezüglich auf die Ausführungen in der Verfügung vom 19. Mai 2014 zu verweisen. Eine Verletzung des Anspruchs auf rechtliches Gehör wurde dabei verneint.</w:t>
      </w:r>
    </w:p>
    <w:p>
      <w:r>
        <w:rPr>
          <w:b/>
        </w:rPr>
        <w:t>E. 4.2</w:t>
      </w:r>
    </w:p>
    <w:p>
      <w:r>
        <w:t>Seitens des Beschwerdeführers wird im Weiteren gerügt, das BFM habe die Unzumutbarkeit des Wegweisungsvollzugs lediglich mit der Formulierung "in Würdigung sämtlicher Umstände und unter Berücksichtigung der Aktenlage" begründet, was keine konkrete Einzelfallwürdigung darstelle, weshalb eine schwerwiegende Verletzung der Begründungspflicht vorliege (a.a.O. S. 4 Art. 3). Dazu ist zu bemerken, dass der Wegweisungsvollzugspunkt nicht angefochten wurde (vgl. dazu vorstehend E. 3) und damit nicht Prozessgegenstand des vorliegenden Beschwerdeverfahrens ist. Aus diesem Grund ist auf diese Rüge nicht mehr näher einzugehen.</w:t>
      </w:r>
    </w:p>
    <w:p>
      <w:r>
        <w:rPr>
          <w:b/>
        </w:rPr>
        <w:t>E. 4.3</w:t>
      </w:r>
    </w:p>
    <w:p>
      <w:r>
        <w:t>Sodann wird geltend gemacht, das BFM habe in seiner Verfügung vom 11. April 2014 den Sachverhalt nur sehr allgemein und lückenhaft wiedergegeben. Dabei seien zahlreiche Einzelheiten und entscheidrelevante Punkte unerwähnt geblieben, was den Eindruck erwecke, dass das SEM den politischen Aspekt der Vorbringen des Beschwerdeführers nicht verstanden, nicht erwähnt und somit auch nicht gewürdigt habe. So habe die Vorinstanz etwa mit keinem Wort erwähnt und gewürdigt, dass die Yekiti-Partei in Syrien verboten gewesen und der Beschwerdeführer auch nach seiner Rückkehr nach Syrien seinen politischen Aktivitäten wieder nachgegangen sei. Unerwähnt geblieben sei auch, dass man in Syrien via Bestechung an Informationen über eine persönliche behördliche Suche gelangen könne und dass er selbst von einem Spitzel namens G._______ über den Behördenbesuch informiert worden sei (vgl. im Einzelnen a.a.O. S. 8 ff Art. 15 bis 22). Ausserdem habe das BFM nicht konkret begründet, weshalb dessen exilpolitische Aktivitäten nicht geeignet seien, dessen Flüchtlingseigenschaft zu begründen (a.a.O. S. 7 Art. 14). Schliesslich habe das BFM die Pflicht, den rechtserheblichen Sachverhalt vollständig und richtig festzustellen, verletzt, indem es weder eine weitere Anhörung des Beschwerdeführers noch eine Botschaftsabklärung durchgeführt habe (a.a.O. S. 10 f. Art. 24).</w:t>
      </w:r>
    </w:p>
    <w:p>
      <w:r>
        <w:rPr>
          <w:b/>
        </w:rPr>
        <w:t>E. 4.3.1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4.3.2</w:t>
      </w:r>
    </w:p>
    <w:p>
      <w:r>
        <w:t>Die Vorinstanz hat in der angefochtenen Verfügung unter anderem erwähnt, dass der Beschwerdeführer im Verlaufe des Jahres 2005 mit Hilfe einer Person, welche bei den syrischen Sicherheitskräften gearbeitet habe, unbehelligt nach Syrien habe einreisen können. Im Jahre 2010 habe er die syrischen Behörden via eine weitere Mittelsperson um eine weitere Verschiebung seines Militärdienstes ersucht, um alsdann legal in den Libanon reisen zu können. Sein diesbezüglicher Antrag sei in der Folge behördlich abgelehnt worden. Schliesslich habe er sich einer geplanten Festnahme um drei Uhr morgens rechtzeitig entziehen können, da er wiederum durch eine Mittelsperson rechtzeitig gewarnt worden sei und habe fliehen können. Das BFM befand jedoch, der Beschwerdeführer habe insgesamt widersprüchliche beziehungsweise ungereimte Angaben gemacht, und erachtete diese daher als unglaubhaft. Bei dieser Sachlage ist grundsätzlich auch nicht zu beanstanden, dass das SEM keine weiteren Abklärungen gemacht hat. Nach dem Gesagten ist festzustellen, dass das SEM seiner Pflicht zur Abklärung des rechtserheblichen Sachverhalts in rechtsgenüglicher Weise nachgekommen ist. Die entsprechende Rüge erweist sich damit als unbegründet. Ob die von der Vorinstanz aufgeführten Unglaubhaftigkeitselemente tatsächlich die berechtigte Schlussfolgerung zulassen, die Verfolgungsvorbringen des Beschwerdeführers seien nicht glaubhaft, wird bei deren materiellrechtlicher Würdigung zu entscheiden sein. Auch die Erwägungen des BFM im Zusammenhang mit den exilpolitischen Aktivitäten des Beschwerdeführers genügen den Anforderungen an die Begründungspflicht, hielt die Vorinstanz doch diesbezüglich fest, die eingereichten Fotos und die CD belegten lediglich die Teilnahme des Beschwerdeführers an Kundgebungen. Auch die geltend gemachte Tätigkeit als Administrator einer Internetseite liessen nicht darauf schliessen, dass er einer flüchtlingsrelevanten Gefährdung ausgesetzt wäre, habe er doch nicht geltend gemacht, sich bei seinen Tätigkeiten durch führende Aufgaben exponiert zu haben.</w:t>
      </w:r>
    </w:p>
    <w:p>
      <w:r>
        <w:rPr>
          <w:b/>
        </w:rPr>
        <w:t>E. 4.4</w:t>
      </w:r>
    </w:p>
    <w:p>
      <w:r>
        <w:t>Die vom Beschwerdeführer erhobenen formellen Rügen erweisen sich nach dem Gesagten allesamt als unbegründet. Damit besteht auch keine Veranlassung, die angefochtene Verfügung zu kassieren,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6.1</w:t>
      </w:r>
    </w:p>
    <w:p>
      <w:r>
        <w:t>Die soeben aufgeführten Kriterien der Glaubhaftmachung sind mit Blick auf die Asylvorbringen des Beschwerdeführers nicht als erfüllt zu erachten. Zunächst erstaunt es, dass das syrische Konsulat in D._______ dem Beschwerdeführer bei seiner im Jahr 2005 erfolgten angeblichen Rückreise nach Syrien via den Flughafen H._______ anstelle eines blossen laissez-passer dessen Reisepass um zwei Monate und 24 Tage verlängert haben soll (vgl. act. A4 S. 2 Ziff. 8 i.V.m. act. A13 S. 7 F und A32-34), wiewohl sich die syrische Botschaft in D._______ nach Darstellung des Beschwerdeführers zu einem früheren Zeitpunkt, nämlich seit Januar 2002, geweigert haben soll, eben diesen Pass zu verlängern (vgl. act. A4 S. 4 Ziff. 13.1 i.V.m. act. A13 S. 3 F und A3). Ungewöhnlich mutet auch der Umstand an, dass der Beschwerdeführer bei seiner Wiedereinreise in Syrien im Jahr 2005 via einen Mittelsmann, der bei den syrischen Sicherheitskräften angestellt gewesen sei, eine Löschung seiner Einreisedaten erwirken konnte (vgl. act. A13 S. 3 F und A3). Obwohl dieser Gewährsmann ihm bloss eine Garantie von drei Monaten für einen unbehelligten Aufenthalt in Syrien versprochen habe, seien zwei, drei Jahre vergangen, ohne dass ihm persönlich seitens der syrischen Behörden konkret etwas passiert sei (vgl. act. A13 S.3/4 F und A3 i.V.m. S. 8 f. F und A40 bis 43). Umso weniger verständlich erscheint vor diesem Hintergrund, dass der Beschwerdeführer etwa Mitte Oktober 2010 im Bestreben, zu seinem im Libanon lebenden Bruder E._______ zu gelangen, via einen weiteren Vermittler erneut ein Gesuch um Verschiebung seines Militärdienstes gestellt haben soll (vgl. act. A4 S. 6 Ziff. 15 i.V.m. act. A13 S. 4 F und A4), führte er hierdurch doch praktisch zwangsläufig die syrischen Behörden auf seine Fährte. Entsprechend hielten die avisierten syrischen Militärbehörden in Damaskus nach Darstellung des Beschwerdeführers denn auch Rücksprache mit ihrer Dienststelle in B._______ und beauftragten diese, einen Rapport über ihn zu erstellen, der in der Folge zu einer Ablehnung eines weiteren Dispensationsgesuchs beziehungsweise einer Ausreisegenehmigung und schliesslich auch zur nächtlichen Suche nach seiner Person geführt habe, wobei er einer Verhaftung nur dank der rechtzeitigen Warnung eines Spitzels entgangen sei (vgl. act. A4 S. 5 f. Ziff. 15 i.V.m. act. A13 S. 4 F und A4 bis 6). Zu guter Letzt bleibt anzufügen, dass sich der Beschwerdeführer auch hinsichtlich Einzelheiten in Bezug auf seine angebliche nächtliche Flucht in Widersprüche verstrickte. So gab er anlässlich der Befragung zur Person sinngemäss zu Protokoll, er sei nach der mitternächtlichen Warnung von zu Hause ins Haus seines Grossvaters geflüchtet (vgl. act. A4 S. 5 F. Ziff. 15), wogegen er bei der einlässlichen Anhörung behauptete, er habe sich im Zeitpunkt der mitternächtlichen Warnung bereits seit etwa vier Stunden im Hause seines Grossvaters befunden (vgl. act. A13 S. 4 f. F und A5 bis 9). Der diesbezügliche Einwand, er habe die Vorgänge in der Empfangsstelle "nicht genau erklärt" (vgl. act. A13 S. 5 F und A11), erscheint angesichts der eindeutigen Diskrepanzen unbehelflich.</w:t>
      </w:r>
    </w:p>
    <w:p>
      <w:r>
        <w:rPr>
          <w:b/>
        </w:rPr>
        <w:t>E. 6.2</w:t>
      </w:r>
    </w:p>
    <w:p>
      <w:r>
        <w:t>All diese in ihrer Logik in keiner Art stimmigen beziehungsweise inkongruenten Erzählelemente führen das Bundesverwaltungsgericht zum Schluss, dass es sich bei den Verfolgungsvorbringen des Beschwerdeführers um ein reines Konstrukt handelt. Mit Blick auf diese Gesamtschau erübrigt es sich, auf isolierte Erklärversuche in der Beschwerde einzugehen, da diese zu keiner anderen Einschätzung der Sachlage zu führen vermögen. Aus dem Gesagten folgt, dass das SEM die Vorbringen des Beschwerdeführers im Zusammenhang mit einer angeblichen behördlichen Suche wegen seiner früheren politischen Aktivitäten zugunsten der Yekiti-Partei beziehungsweise seines ausstehenden Militärdienstes zu Recht als unglaubhaft eingestuft hat.</w:t>
      </w:r>
    </w:p>
    <w:p>
      <w:r>
        <w:rPr>
          <w:b/>
        </w:rPr>
        <w:t>E. 6.3</w:t>
      </w:r>
    </w:p>
    <w:p>
      <w:r>
        <w:t>Es bleibt zu prüfen, ob die Behauptung des Beschwerdeführers in der Beschwerde zutrifft, er werde seitens der syrischen Behörden allein schon deswegen als Refraktär gesucht, weil er zwischen den Jahren 1997/98 und 2000/01 viermal um Dispens vom Militärdienst ersucht und diesen auch erhalten habe (vgl. Beschwerde S. 20 Art. 45 und 46 i.V.m. Replik S. 1/2). In diesem Zusammenhang ist auf den Grundsatzentscheid BVGE 2015/3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betroffenen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habe(vgl. E. 6.7.3). Im vorliegenden Fall liegt indessen keine vergleichbare Konstellation vor. Zunächst ist aufgrund der Ausführungen in E. 6.1 und 6.2 hiervor nicht davon auszugehen, dass der Beschwerdeführer vor seiner Ausreise im Visier der syrischen Sicherheitskräfte stand. Den Akten sind auch keine konkreten und glaubhaften Hinweise dafür zu entnehmen, dass sich die Familie des Beschwerdeführers aktiv in der politischen Opposition engagierte. Der Beschwerdeführer selber erwähnte im Verlauf des vorinstanzlichen Verfahrens nichts dergleichen. Im Weiteren ist nicht aktenkundig, dass der Beschwerdeführer im Nachgang zu seinen Militärverschiebungsgesuchen je zum Militärdienst aufgeboten wurde. Er reichte lediglich sein Militärdienstbüchlein zu den Akten, nicht jedoch einen Einberufungsbefehl, und er machte auch an keiner Stelle geltend, er habe einen solchen erhalten. Aus diesen Gründen ist im vorliegenden Fall festzustellen, dass keine Dienstverweigerung vorliegt. Demnach ist auch nicht davon auszugehen, dass der Beschwerdeführer, sollten die syrischen Behörden seiner habhaft werden,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6.4</w:t>
      </w:r>
    </w:p>
    <w:p>
      <w:r>
        <w:t>Nach dem Gesagten erscheint es insgesamt nicht glaubhaft, dass der Beschwerdeführer im Zeitpunkt seiner Ausreise aus Syrien eine asylrelevante Verfolgung zu befürchten hatte.</w:t>
      </w:r>
    </w:p>
    <w:p>
      <w:r>
        <w:rPr>
          <w:b/>
        </w:rPr>
        <w:t>E. 7</w:t>
      </w:r>
    </w:p>
    <w:p>
      <w:r>
        <w:t>Sodann ist auf das Vorbringen einzugehen, wonach der Beschwerdeführer bei einer Wiedereinreise nach Syrien in flüchtlingsrelevanter Weise gefährdet wäre, weil er in der Schweiz ein Asylgesuch gestellt habe und sich hier exilpolitisch betätige.</w:t>
      </w:r>
    </w:p>
    <w:p>
      <w:r>
        <w:rPr>
          <w:b/>
        </w:rPr>
        <w:t>E. 7.1</w:t>
      </w:r>
    </w:p>
    <w:p>
      <w:r>
        <w:t>Wer sich darauf beruft, dass durch seine Flucht beziehungsweise durch sein Verhalten nach der Ausreise aus dem Heimat- oder Herkunftsstaat eine Gefährdungssituation erst geschaffen worden ist, macht subjektive Nachfluchtgründe im Sinne von Art. 54 AsylG geltend.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Referenzurteil D-3839/2013 des Bundesverwaltungsgerichts vom 28. Oktober 2015 E. 6.2.1, mit weiteren Hinweisen).</w:t>
      </w:r>
    </w:p>
    <w:p>
      <w:r>
        <w:rPr>
          <w:b/>
        </w:rPr>
        <w:t>E. 7.2</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(mehr als vier Millionen),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7.3</w:t>
      </w:r>
    </w:p>
    <w:p>
      <w:r>
        <w:t>Der Beschwerdeführer machte unter dem Gesichtspunkt subjektiver Nachfluchtgründe geltend, er habe seit seiner Ankunft in der Schweiz an diversen Demonstrationen teilgenommen. Diese Aussage des Beschwerdeführers ist in der Tat durch zahlreiche, im Rahmen des vorinstanzlichen Verfahrens sowie auf Beschwerdeebene eingereichte, teilweise auch im Internet publizierte Fotos dokumentiert, auf denen er als Teilnehmer von Demonstrationen in der Schweiz erkennbar ist, und dabei Transparente hochhält oder (prokurdische) Fahnen trägt. Im Weiteren reichte der Beschwerdeführer mehrmals aktuelle Fassungen seines Facebook-Accounts ein. Auf seiner Facebook-Seite sind nebst Kriegsbildern, Karikaturen und Kommentaren auch Fotos von ihm enthalten, welche ihn an Demonstrationen zeigen. Im Weiteren enthält seine persönliche Facebook-Seite den Hinweis, dass er für die regimekritisch eingestellte Nichtregierungsorganisation (...) arbeitet, welche ebenfalls über ein Facebook-Profil verfügt. Er arbeitet dort eigenen Angaben zufolge als Administrator (vgl. act. A13 S. 11 F und A58). Ferner reichte der Beschwerdeführer eine Bestätigung der Schweizer Vertretung der Yekiti-Partei vom 6. Mai 2014 zu den Akten, wonach er ein aktives Mitglied dieser Partei sei und an all ihren Aktivitäten teilnehme.</w:t>
      </w:r>
    </w:p>
    <w:p>
      <w:r>
        <w:rPr>
          <w:b/>
        </w:rPr>
        <w:t>E. 7.4</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Vorverfolgung glaubhaft zu machen (vgl. E. 6). Daher kann ausgeschlossen werden,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Seine Tätigkeit als Administrator der Internetseite von (...) dürfte vielmehr technische Aspekte im Hintergrund beschlagen. So besehen unterhält er wie Tausende anderer Exil-Syrer auch eine persönliche Facebook-Seite und nimmt an Demonstrationen gegen das syrische Regime und den IS teil, wobei er sich fotografieren lässt. In Bezug auf den Facebook-Account des Beschwerdeführers ist ferner festzustellen, dass er - wie zahlreiche andere Asylsuchende - darauf im Wesentlichen fremde Inhalte verbreitet. Die geltend gemachten exilpolitischen Tätigkeiten des Beschwerdeführers in der Schweiz sind daher als massentypische und geringprofilierte Formen des politischen Protests zu qualifizieren. Auch unter Berücksichtigung der Tatsache, dass der Beschwerdeführer auf den eingereichten Fotos beziehungsweise kurzzeitig in einem Beitrag des Schweizer Fernsehens in Genf erkennbar ist (vgl. act. A13 S. 11 F und A58 i. f.) und sich auf seinem Facebook-Profil ein Foto sowie Angaben zu seiner Person finden (allerdings mit den Personalien I._______, ohne vollständiges Geburtsdatum und ohne korrekten Wohnort [J._______ statt K._______]),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 An dieser Feststellung vermag die Sichtweise auf Beschwerdeebene, der zufolge die Tatsache, dass der Beschwerdeführer bereits zu Beginn der Revolution in Syrien im Frühjahr politisch aktiv gewesen sei und sich damit "klar als einer der ersten, der die internationale Gemeinschaft auf die Machenschaften des Assad-Regimes vom Ausland her aufmerksam" gemacht, "exponiert" habe (vgl. Eingabe vom 13. Januar 2016 S. 3 Abs. 4), nichts zu ändern.</w:t>
      </w:r>
    </w:p>
    <w:p>
      <w:r>
        <w:rPr>
          <w:b/>
        </w:rPr>
        <w:t>E. 7.5</w:t>
      </w:r>
    </w:p>
    <w:p>
      <w:r>
        <w:t>Abschliessend ist festzuhalten, dass die Asylgesuchstellung in der Schweiz für sich genommen keine asylrelevante Gefährdung im Falle einer Rückkehr des Beschwerdeführers in sein Heimatland zu begründen vermag (vgl. hierzu das Referenzurteil D-3839/2013 vom 28. Oktober 2015E. 6.4.3).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indessen nicht davon auszugehen, dass diese ihn allein aufgrund der Asylgesuchstellung im Ausland als staatsgefährdend einstufen würden, weshalb nicht damit zu rechnen ist, er hätte bei einer Rückkehr asylrelevante Massnahmen zu befürchten.</w:t>
      </w:r>
    </w:p>
    <w:p>
      <w:r>
        <w:rPr>
          <w:b/>
        </w:rPr>
        <w:t>E. 7.6</w:t>
      </w:r>
    </w:p>
    <w:p>
      <w:r>
        <w:t>Gestützt auf die vorstehenden Erwägungen erscheint es insgesamt nicht als wahrscheinlich, dass die syrischen Behörden den Beschwerdeführer aufgrund seiner Asylgesuchstellung in der Schweiz und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8</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9.1</w:t>
      </w:r>
    </w:p>
    <w:p>
      <w:r>
        <w:t>Lehnt das SEM respektive BFM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11. April 2014 gestützt auf Art. 83 Abs. 4 des Ausländergesetzes (AuG, SR 142.20) im Rahmen der Anordnung der vorläufigen Aufnahme wegen Unzumutbarkeit des Vollzugs der Wegweisung berücksichtigt wurde.</w:t>
      </w:r>
    </w:p>
    <w:p>
      <w:r>
        <w:rPr>
          <w:b/>
        </w:rPr>
        <w:t>E. 11</w:t>
      </w:r>
    </w:p>
    <w:p>
      <w:r>
        <w:t>Aus diesen Erwägungen ergibt sich, dass der - einzig in den Punkten 1-3 des Dispositivs angefochtene - Asylentscheid des BFM Bundesrecht nicht verletzt sowie den rechtserheblichen Sachverhalt richtig und vollständig feststellt (Art.106 Abs.1 AsylG). Die Beschwerde ist daher abzuweisen.</w:t>
      </w:r>
    </w:p>
    <w:p>
      <w:r>
        <w:rPr>
          <w:b/>
        </w:rPr>
        <w:t>E. 12</w:t>
      </w:r>
    </w:p>
    <w:p>
      <w:r>
        <w:t>Bei diesem Ausgang des Verfahrens wären dessen Kosten grundsätzlich dem Beschwerdeführer aufzuerlegen (Art. 63 Abs. 1 VwVG). Das Bundesverwaltungsgericht hat ihm indessen mit Zwischenverfügung vom 2. Juni 2014 die unentgeltliche Prozessführung gewährt. Da der Beschwerdeführer aufgrund der Aktenlage nach wie vor als prozessual bedürftig zu betrachten ist, ist die ihm gewährte unentgeltliche Rechtspflege nicht zu widerrufen und es sind ihm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