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D-2564/2013 vom 12. Juli 2013</w:t>
      </w:r>
    </w:p>
    <w:p>
      <w:r>
        <w:t>Bundesverwaltungsgericht, 2013-07-12, DE</w:t>
      </w:r>
    </w:p>
    <w:p>
      <w:r>
        <w:rPr>
          <w:b/>
        </w:rPr>
        <w:t xml:space="preserve">Quelle: </w:t>
      </w:r>
      <w:r>
        <w:t>https://mcp.opencaselaw.ch/entscheid/bvger_D-2564_2013</w:t>
      </w:r>
    </w:p>
    <w:p>
      <w:r>
        <w:t>FR: TAF D-2564/2013 du 12 juillet 2013</w:t>
      </w:r>
    </w:p>
    <w:p>
      <w:r>
        <w:t>IT: TAF D-2564/2013 del 12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Richterinnen oder Richtern (Spruchkörper;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 3.1 In verfahrensrechtlicher Hinsicht ist zunächst anzumerken, dass das Bundesverwaltungsgericht dem Gesuch des Beschwerdeführers um Akteneinsicht mit Zwischenverfügung vom 22. Mai 2013 weitgehend nachgekommen ist (vgl. Bst. F vorstehend). Einwände gegen diese Verfügung wurden in der Beschwerdeergänzung vom 30. Mai 2013 keine erhoben, weshalb sich weitere Ausführungen dazu erübrigen. 3.2 In Bezug auf das bei der kantonalen Migrationsbehörde am 9. Januar 2013 eingegangene anonyme Schreiben beantragt der Beschwerdeführer, auf dieses sei nicht einzutreten und es sei aus den Akten zu weisen. Die Herkunft der darin enthaltenen Informationen sei aufgrund der Abdeckung nicht nachvollziehbar. Das Schreiben sei zudem in einem gehässigen und fremdenfeindlichen Ton gehalten und wirke anbiedernd gegenüber der Behörde. Hinzu komme, dass sein Wahrheitsgehalt nicht überprüfbar sei. Es könne nicht ausgeschlossen werden, dass es von einer dem Beschwerdeführer feindlich gesinnten Person stamme und/oder falsche Angaben enthalte. Deshalb stelle es kein geeignetes Beweismittel dar. Der Umstand, dass das BFM versucht habe, das Schreiben vor dem Beschwerdeführer geheim zu halten, werfe ein schlechtes Licht auf die Vorinstanz und ihre Vorstellung, wie ein rechtsstaatlich korrektes Verwaltungsverfahren ablaufen müsse. Die Kritik des Beschwerdeführers ist nur ansatzweise berechtigt. Das Schreiben stellt eine Privaturkunde und damit ein im Verwaltungsverfahren zulässiges Beweismittel dar (Art. 12 Bst. a VwVG). Weshalb es unter ein Beweisverwertungsverbot fallen sollte (vgl. dazu Patrick L. Krauskopf/Katrin Emmenegger, in: Praxiskommentar VwVG, Waldmann/Weissenberger [Hrsg.], Zürich 2009, Art. 12 N 188 ff.), ist nicht ersichtlich. Vielmehr unterliegt es der freien richterlichen Beweiswürdigung, in deren Rahmen auch die vom Beschwerdeführer geäusserten Bedenken, beispielsweise die unbekannte Beziehung des anonymen Verfassers zum Beschwerdeführer, zu berücksichtigen sein werden. Der Vorwurf des Beschwerdeführers, die Vorinstanz habe in rechtsstaatlich bedenklicher Weise versucht, das Schreiben geheim zu halten, ist zwar überspitzt formuliert, kann aber nicht vollumfänglich von der Hand gewiesen werden. So wurde der Beschwerdeführer nach Eingang des anonymen Schreibens nochmals angehört, wobei ihm unter anderem mitgeteilt wurde, dem BFM sei ein abweichendes Geburtsjahr zugetragen worden und das BFM habe die Information erhalten, dass die gesamte Familie des Beschwerdeführers in B._______ lebe (vgl. Akten BFM A 38/10 S. 7). Indessen wurde der Beschwerdeführer nicht darüber informiert, dass diese Erkenntnisse des Bundesamtes auf einem anonymen Schreiben basierten, und die Einsicht in dieses Schreiben wurde ihm vollständig verweigert. Insofern ist das diesbezügliche Vorgehen der Vorinstanz zu kritisieren, indessen gewährte das Gericht dem Beschwerdeführer unter Abdeckung derjenigen Stellen, die Rückschlüsse auf die verfassende Person ermöglichen könnten, Einsicht in das anonyme Schreiben, und dem Beschwerdeführer wurde die Möglichkeit eingeräumt, dazu Stellung zu nehmen. Für allfällige Weiterungen besteht deshalb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bringt auf Beschwerdeebene zunächst vor, das BFM stelle seine persönliche Glaubwürdigkeit nicht in Frage, und es ergäben sich aufgrund der Akten auch keine Hinweise darauf, seine allgemeine Glaubwürdigkeit unterliege irgendwelchen Zweifeln. Das von ihm angegebene, jugendliche Alter sei mit Hilfe einer Knochenanalyse überprüft und nie in Zweifel gezogen worden. Auch andere Angaben wie Reiseroute und Herkunft seien soweit als möglich überprüft und nie widerlegt worden. Während der fünf Jahre seines Aufenthaltes in der Schweiz habe im Übrigen auch der Aufenthalt seines Vaters und der übrigen Familienangehörigen nicht eruiert werden können. Deshalb sei einmal festzuhalten, dass ihm wesentliche Angaben zu seiner Person, Herkunft und Reiseroute geglaubt werden müssten. Zu den Fluchtgründen sei festzuhalten, dass es weder erstaunlich noch unglaubhaft erscheine, dass der Beschwerdeführer keine weiterführenden Angaben über die Probleme seines Vaters mit der kurdischen Regionalregierung habe machen können. Dieser sei offenbar Angehöriger eines Peshmerga-Verbandes gewesen, weshalb davon ausgegangen werden könne, dass er auch seiner Familie gegenüber dem militärischen Geheimnis unterstellt gewesen sei und nicht offen über seine Tätigkeit habe reden dürfen. Hinzu komme, dass er die Verfolgungsmassnahmen gegenüber seinem Vater als Kind und Halbwüchsiger erlebt habe und sich deshalb keine zutreffende Vorstellung über die Hintergründe habe machen können. Zudem habe er bloss die Fahndung der Behörden nach seinem Vater erlebt und auch diese nur indirekt, wenn die Behörden zu Hause nach dem Vater gesucht hätten. Im Weiteren treffe nicht zu, dass er keine Angaben darüber habe machen können, wie der Vater seinen Lebensunterhalt bestritten habe. Dass der Beschwerdeführer zu den näheren Umständen der Trennung von seiner Familie keine genaueren Angaben habe machen können, liege sodann am Umstand, dass er seine Angehörigen offenbar beim Einsteigen in das Schiff verloren und erst nach der Überfahrt sichere Kenntnis von der Trennung erhalten habe. Die Angaben möchten zwar wenig wahrscheinlich klingen, sie könnten jedoch nicht widerlegt werden. Eine gegen den Beschwerdeführer direkt oder indirekt gerichtete behördliche Verfolgung im von der kurdischen Regionalregierung geführten Nordirak erscheine nicht ohne weiteres unwahrscheinlich. Eine Reflexverfolgung, namentlich gegenüber Söhnen von behördlich Gesuchten, werde bis heute praktiziert. Als Sohn eines behördlich gesuchten flüchtigen Angehörigen der kurdischen Streitkräfte müsse der Beschwerdeführer deshalb eine asylrelevante Verfolgung befürchten. In der Beschwerdeergänzung vom 30. Mai 2013 wird angefügt, weder die radiologische Untersuchung des Knochenalters noch die weiteren ärztlichen Berichte würden Hinweise für ein unglaubhaftes Aussageverhalten des Beschwerdeführers liefern.</w:t>
      </w:r>
    </w:p>
    <w:p>
      <w:r>
        <w:rPr>
          <w:b/>
        </w:rPr>
        <w:t>E. 5.2</w:t>
      </w:r>
    </w:p>
    <w:p>
      <w:r>
        <w:t>Nach Prüfung der Akten gelangt das Bundesverwaltungsgericht zum Schluss, dass die Vorinstanz zu Recht die Flüchtlingseigenschaft des Beschwerdeführers verneint und ihm die Asylgewährung verweigert hat. Um unnötige Wiederholungen zu vermeiden, kann zunächst auf die grundsätzlich zutreffenden Erwägungen in der vorinstanzlichen Verfügung verwiesen werden. Zu den auf Beschwerdeebene erhobenen Einwänden ist festzuhalten, dass auch dort, wo die grundsätzliche Glaubwürdigkeit einer Person nicht in Frage gestellt wird, dies nicht von der Prüfung der konkreten Aussagen auf ihre Glaubhaftigkeit entbindet. Vielmehr bildet die persönliche Glaubwürdigkeit lediglich ein Aspekt der Gesamtbeurteilung. Hinzu kommt, dass bei einer radiologischen Untersuchung der Hand keine exakte Altersangabe möglich ist, sondern mit einer Standardabweichung von +/- 17 Monaten gerechnet werden muss (vgl. A 8/2). Sodann ist die Überprüfung von Angaben Asylsuchender zu Herkunft und Reiseroute notorischerweise nur in sehr begrenztem Rahmen möglich. Insofern ist die Argumentation in der Beschwerdeschrift zu relativieren. Zutreffend wird in der Beschwerdeschrift ausgeführt, der Beschwerdeführer habe im Rahmen der Anhörung zu Protokoll gegeben, sein Vater sei Peshmerga und auch (...) gewesen (vgl. A 24/21 S. 11). Insofern erweist sich die vorinstanzliche Aussage, er habe nicht angeben können, wovon sein Vater eigentlich gelebt habe, als zu absolut. Allerdings konnte er in der Folge nicht darlegen, was man als Peshmerga konkret mache. Diese Konkretisierung kann von einem 17-Jährigen aber ohne weiteres erwartet werden. Ebenso hat die Vorinstanz zutreffend erkannt, dass die vagen Angaben des Beschwerdeführers zu denjenigen Personen, die seinen Vater angeblich verfolgt haben sollen (vgl. A 38/10 S. 4 und 5), beziehungsweise zu den Problemen seines Vaters, nicht zu überzeugen vermögen. Als ausschlaggebend erweist sich indessen letztlich, dass der Beschwerdeführer selber bis zu seiner Ausreise aus dem Irak eigenen Angaben zufolge keine Verfolgung erlitten hat (vgl. A 38/10 S. 7) und auch nicht ersichtlich ist, weshalb er künftig solche zu befürchten hätte. Angesichts der vagen Äusserungen des Beschwerdeführers zur angeblichen Verfolgung seines Vaters vor der Ausreise aus dem Heimatland ist nicht ansatzweise zu sehen, weshalb und von welcher Seite der Beschwerdeführer im Falle einer Rückkehr eine Reflexverfolgung zu befürchten hätte. Dies umso mehr, als ein Onkel väterlicherseits, mit welchem der Beschwerdeführer in Kontakt steht, nichts derartiges berichtet hat (vgl. A 38/10 S. 3).</w:t>
      </w:r>
    </w:p>
    <w:p>
      <w:r>
        <w:rPr>
          <w:b/>
        </w:rPr>
        <w:t>E. 5.3</w:t>
      </w:r>
    </w:p>
    <w:p>
      <w:r>
        <w:t>Zusammengefasst ergibt sich damit, dass das Bundesamt zu Recht die Flüchtlingseigenschaft des Beschwerdeführers verneint und sein Asylgesuch abgewiesen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Hinweis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ist im Grundsatzurteil vom 14. März 2008 (BVGE 2008/5) aufgrund einer umfassenden Beurteilung der Si­tuation in den nordirakischen Provinzen Dohuk, Suleimaniya und Erbil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Zusammenfassend wurde im erwähnten Entscheid festgehalten, dass die Anordnung des Wegweisungsvollzugs für alleinstehende, gesunde und junge kurdische Männer, die ursprünglich aus den Provinzen Dohuk, Suleimaniya oder Erbil stammen und dort nach wie vor über ein soziales Netz oder Parteibeziehungen verfügen, in der Regel zumutbar ist (a.a.O. E. 7.5 und insbesondere E. 7.5.8).</w:t>
      </w:r>
    </w:p>
    <w:p>
      <w:r>
        <w:rPr>
          <w:b/>
        </w:rPr>
        <w:t>E. 7.4.2</w:t>
      </w:r>
    </w:p>
    <w:p>
      <w:r>
        <w:t>Die Sicherheitslage in den drei kurdischen Provinzen hat sich auch seit Publikation des erwähnten Urteils nicht verschlechtert und in den Berichten staatlicher und nichtstaatlicher Organisationen sowie des UN-Sicherheitsrats wird eine insgesamt stabile Situation beschrieben (vgl. zur aktuellen Lageeinschätzung durch das Bundesverwaltungsgericht vgl. das Urteil D-873/2013 vom 29. Mai 2013 E. 6.4.2). Beim Beschwerdeführer handelt es sich um einen jungen, alleinstehenden und gemäss Aktenlage körperlich weitestgehend gesunden Mann. Er verfügt über eine recht gute Schulbildung (vgl. A 24/21 S. 12, A 1/10 S. 2 f.) und erwarb in der Schweiz nicht nur gute Deutschkenntnisse (vgl. A 38/10 S. 2), sondern auch erste berufliche Erfahrungen im (...) (vgl. A 37/5 S. 1). Insgesamt ergibt sich aus den Akten, dass sich der Beschwerdeführer - nicht zuletzt dank offensichtlich grosser Unterstützung von privater Seite (vgl. A 45/2) - gut in der Schweiz zu integrieren vermochte. Dies vermag indessen den Wegweisungsvollzug nicht als unzumutbar erscheinen zu lassen. Der Beschwerdeführer verfügt im Nordirak über ein verwandtschaftliches Beziehungsnetz (vgl. A 38/10 S. 2 f.), mit seinem Onkel väterlicherseits pflegt er einen regelmässigen Kontakt. Angesichts sämtlicher Umstände besteht kein Anlass für die Annahme, der Beschwerdeführer werde bei einer Rückkehr in den Nordirak in eine existenzielle Notlage geraten. Was die psychischen Beeinträchtigungen des Beschwerdeführers anbelangt, so hat das BFM zutreffend auf einen Behandlungsunterbruch zwischen Mitte 2010 und Ende 2012 hingewiesen. Dass sich der Beschwerde nach der Trennung von seiner engsten Familie - unabhängig davon, aufgrund welcher Umstände diese Trennung erfolgte - und in einem anderen Kulturkreis in einer psychisch schwierigen und belasteten Situation befand und befindet, ist ohne weiteres nachvollziehbar. Ebenso liegt auf der Hand, dass er sich durch die Kontaktnahme des BFM anfangs 2013, nachdem die erste Anhörung bereits im November 2008 stattgefunden hatte und weitere direkte Kontakte zwischen dem BFM und dem Beschwerdeführer aus den Akten nicht ersichtlich sind, erneut mit seinem unsicheren Aufenthaltsstatus konfrontiert sah. Es ist deshalb verständlich, dass er in dieser Situation erneut medizinische Unterstützung in Anspruch nahm und nimmt. Indessen ergibt sich aus dem Arztbericht vom 29. Januar 2013 kein Wegweisungsvollzugshindernis. Eine medizinische Notlage im Sinne eines solchen Vollzugshindernisses ist nämlich nur anzunehmen,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Diese Voraussetzungen sind im vorliegenden Fall nicht gegeben.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